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ellesRaster-Akzent3"/>
        <w:tblW w:w="0" w:type="auto"/>
        <w:tblLook w:val="04A0" w:firstRow="1" w:lastRow="0" w:firstColumn="1" w:lastColumn="0" w:noHBand="0" w:noVBand="1"/>
      </w:tblPr>
      <w:tblGrid>
        <w:gridCol w:w="4602"/>
        <w:gridCol w:w="4603"/>
      </w:tblGrid>
      <w:tr w:rsidR="002858F9" w:rsidTr="006A7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F37810" w:rsidRPr="004610C8" w:rsidRDefault="00F37810" w:rsidP="00F37810">
            <w:pPr>
              <w:rPr>
                <w:b w:val="0"/>
                <w:sz w:val="32"/>
                <w:szCs w:val="32"/>
              </w:rPr>
            </w:pPr>
            <w:r w:rsidRPr="004610C8">
              <w:rPr>
                <w:sz w:val="32"/>
                <w:szCs w:val="32"/>
              </w:rPr>
              <w:t>Bezeichnung</w:t>
            </w:r>
          </w:p>
        </w:tc>
        <w:tc>
          <w:tcPr>
            <w:tcW w:w="4603" w:type="dxa"/>
          </w:tcPr>
          <w:p w:rsidR="00F37810" w:rsidRPr="004610C8" w:rsidRDefault="00F37810" w:rsidP="00F37810">
            <w:pPr>
              <w:cnfStyle w:val="100000000000" w:firstRow="1" w:lastRow="0" w:firstColumn="0" w:lastColumn="0" w:oddVBand="0" w:evenVBand="0" w:oddHBand="0" w:evenHBand="0" w:firstRowFirstColumn="0" w:firstRowLastColumn="0" w:lastRowFirstColumn="0" w:lastRowLastColumn="0"/>
              <w:rPr>
                <w:b w:val="0"/>
                <w:sz w:val="32"/>
                <w:szCs w:val="32"/>
              </w:rPr>
            </w:pPr>
            <w:r w:rsidRPr="004610C8">
              <w:rPr>
                <w:sz w:val="32"/>
                <w:szCs w:val="32"/>
              </w:rPr>
              <w:t>Bemerkung</w:t>
            </w:r>
          </w:p>
        </w:tc>
      </w:tr>
      <w:tr w:rsidR="002858F9"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5" w:type="dxa"/>
            <w:gridSpan w:val="2"/>
          </w:tcPr>
          <w:p w:rsidR="008566E2" w:rsidRDefault="008566E2" w:rsidP="00FD0765">
            <w:pPr>
              <w:jc w:val="center"/>
            </w:pPr>
            <w:r>
              <w:t>S</w:t>
            </w:r>
            <w:r w:rsidRPr="004610C8">
              <w:t>auerstoff/Beatmung/Inhalation</w:t>
            </w:r>
          </w:p>
          <w:p w:rsidR="006A7933" w:rsidRPr="004610C8" w:rsidRDefault="006A7933" w:rsidP="00FD0765">
            <w:pPr>
              <w:jc w:val="center"/>
              <w:rPr>
                <w:b w:val="0"/>
              </w:rPr>
            </w:pPr>
          </w:p>
        </w:tc>
      </w:tr>
      <w:tr w:rsidR="002858F9"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2858F9" w:rsidRPr="006A7933" w:rsidRDefault="002858F9">
            <w:pPr>
              <w:rPr>
                <w:b w:val="0"/>
              </w:rPr>
            </w:pPr>
            <w:r w:rsidRPr="006A7933">
              <w:rPr>
                <w:b w:val="0"/>
              </w:rPr>
              <w:t>Sauerstoff-Flasche</w:t>
            </w:r>
            <w:r w:rsidR="00E13B95" w:rsidRPr="006A7933">
              <w:rPr>
                <w:b w:val="0"/>
              </w:rPr>
              <w:t>…Liter</w:t>
            </w:r>
          </w:p>
        </w:tc>
        <w:tc>
          <w:tcPr>
            <w:tcW w:w="4603" w:type="dxa"/>
          </w:tcPr>
          <w:p w:rsidR="002858F9" w:rsidRPr="0051017B" w:rsidRDefault="00323A46">
            <w:pPr>
              <w:cnfStyle w:val="000000010000" w:firstRow="0" w:lastRow="0" w:firstColumn="0" w:lastColumn="0" w:oddVBand="0" w:evenVBand="0" w:oddHBand="0" w:evenHBand="1" w:firstRowFirstColumn="0" w:firstRowLastColumn="0" w:lastRowFirstColumn="0" w:lastRowLastColumn="0"/>
            </w:pPr>
            <w:r>
              <w:t xml:space="preserve">1 oder </w:t>
            </w:r>
            <w:r w:rsidR="0051017B">
              <w:t>2l O2-Flasche 200 oder 300 bar</w:t>
            </w:r>
          </w:p>
        </w:tc>
      </w:tr>
      <w:tr w:rsidR="002858F9"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2858F9" w:rsidRPr="006A7933" w:rsidRDefault="00E13B95">
            <w:pPr>
              <w:rPr>
                <w:b w:val="0"/>
              </w:rPr>
            </w:pPr>
            <w:r w:rsidRPr="006A7933">
              <w:rPr>
                <w:b w:val="0"/>
              </w:rPr>
              <w:t>Druckminderer</w:t>
            </w:r>
          </w:p>
        </w:tc>
        <w:tc>
          <w:tcPr>
            <w:tcW w:w="4603" w:type="dxa"/>
          </w:tcPr>
          <w:p w:rsidR="002858F9" w:rsidRPr="0051017B" w:rsidRDefault="0051017B">
            <w:pPr>
              <w:cnfStyle w:val="000000100000" w:firstRow="0" w:lastRow="0" w:firstColumn="0" w:lastColumn="0" w:oddVBand="0" w:evenVBand="0" w:oddHBand="1" w:evenHBand="0" w:firstRowFirstColumn="0" w:firstRowLastColumn="0" w:lastRowFirstColumn="0" w:lastRowLastColumn="0"/>
            </w:pPr>
            <w:r>
              <w:t>f</w:t>
            </w:r>
            <w:r w:rsidRPr="0051017B">
              <w:t>lexibler Druckminderer, Flow 0-15l</w:t>
            </w:r>
          </w:p>
        </w:tc>
      </w:tr>
      <w:tr w:rsidR="002858F9"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2858F9" w:rsidRPr="006A7933" w:rsidRDefault="00E13B95" w:rsidP="00E13B95">
            <w:pPr>
              <w:rPr>
                <w:b w:val="0"/>
              </w:rPr>
            </w:pPr>
            <w:r w:rsidRPr="006A7933">
              <w:rPr>
                <w:b w:val="0"/>
              </w:rPr>
              <w:t>Beatmungsbeutel</w:t>
            </w:r>
            <w:r w:rsidR="003A31DF" w:rsidRPr="006A7933">
              <w:rPr>
                <w:b w:val="0"/>
              </w:rPr>
              <w:t xml:space="preserve"> mit Sauerstoff-</w:t>
            </w:r>
            <w:r w:rsidRPr="006A7933">
              <w:rPr>
                <w:b w:val="0"/>
              </w:rPr>
              <w:t>Reservoir</w:t>
            </w:r>
            <w:r w:rsidR="002052B4" w:rsidRPr="006A7933">
              <w:rPr>
                <w:b w:val="0"/>
              </w:rPr>
              <w:t xml:space="preserve"> +</w:t>
            </w:r>
            <w:r w:rsidR="003A31DF" w:rsidRPr="006A7933">
              <w:rPr>
                <w:b w:val="0"/>
              </w:rPr>
              <w:t>Atemfilter</w:t>
            </w:r>
          </w:p>
        </w:tc>
        <w:tc>
          <w:tcPr>
            <w:tcW w:w="4603" w:type="dxa"/>
          </w:tcPr>
          <w:p w:rsidR="002858F9" w:rsidRDefault="002858F9">
            <w:pPr>
              <w:cnfStyle w:val="000000010000" w:firstRow="0" w:lastRow="0" w:firstColumn="0" w:lastColumn="0" w:oddVBand="0" w:evenVBand="0" w:oddHBand="0" w:evenHBand="1" w:firstRowFirstColumn="0" w:firstRowLastColumn="0" w:lastRowFirstColumn="0" w:lastRowLastColumn="0"/>
              <w:rPr>
                <w:b/>
              </w:rPr>
            </w:pPr>
          </w:p>
        </w:tc>
      </w:tr>
      <w:tr w:rsidR="002858F9"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2858F9" w:rsidRPr="006A7933" w:rsidRDefault="00E13B95" w:rsidP="00E13B95">
            <w:pPr>
              <w:rPr>
                <w:b w:val="0"/>
              </w:rPr>
            </w:pPr>
            <w:r w:rsidRPr="006A7933">
              <w:rPr>
                <w:b w:val="0"/>
              </w:rPr>
              <w:t xml:space="preserve">Beatmungsmaske </w:t>
            </w:r>
          </w:p>
          <w:p w:rsidR="001145B7" w:rsidRPr="006A7933" w:rsidRDefault="001145B7" w:rsidP="00E13B95">
            <w:pPr>
              <w:rPr>
                <w:b w:val="0"/>
              </w:rPr>
            </w:pPr>
          </w:p>
          <w:p w:rsidR="001145B7" w:rsidRPr="006A7933" w:rsidRDefault="001145B7" w:rsidP="00E13B95">
            <w:pPr>
              <w:rPr>
                <w:b w:val="0"/>
              </w:rPr>
            </w:pPr>
          </w:p>
        </w:tc>
        <w:tc>
          <w:tcPr>
            <w:tcW w:w="4603" w:type="dxa"/>
          </w:tcPr>
          <w:p w:rsidR="002858F9" w:rsidRDefault="0051017B">
            <w:pPr>
              <w:cnfStyle w:val="000000100000" w:firstRow="0" w:lastRow="0" w:firstColumn="0" w:lastColumn="0" w:oddVBand="0" w:evenVBand="0" w:oddHBand="1" w:evenHBand="0" w:firstRowFirstColumn="0" w:firstRowLastColumn="0" w:lastRowFirstColumn="0" w:lastRowLastColumn="0"/>
            </w:pPr>
            <w:r>
              <w:t>Größe 5 für Erwachsene</w:t>
            </w:r>
          </w:p>
          <w:p w:rsidR="0051017B" w:rsidRDefault="0051017B" w:rsidP="0051017B">
            <w:pPr>
              <w:cnfStyle w:val="000000100000" w:firstRow="0" w:lastRow="0" w:firstColumn="0" w:lastColumn="0" w:oddVBand="0" w:evenVBand="0" w:oddHBand="1" w:evenHBand="0" w:firstRowFirstColumn="0" w:firstRowLastColumn="0" w:lastRowFirstColumn="0" w:lastRowLastColumn="0"/>
            </w:pPr>
            <w:r>
              <w:t>Größe 4 für Jugendliche</w:t>
            </w:r>
          </w:p>
          <w:p w:rsidR="0051017B" w:rsidRPr="0093112C" w:rsidRDefault="0051017B" w:rsidP="0051017B">
            <w:pPr>
              <w:cnfStyle w:val="000000100000" w:firstRow="0" w:lastRow="0" w:firstColumn="0" w:lastColumn="0" w:oddVBand="0" w:evenVBand="0" w:oddHBand="1" w:evenHBand="0" w:firstRowFirstColumn="0" w:firstRowLastColumn="0" w:lastRowFirstColumn="0" w:lastRowLastColumn="0"/>
            </w:pPr>
            <w:r>
              <w:t>Größe 3 für Kinder</w:t>
            </w:r>
          </w:p>
        </w:tc>
      </w:tr>
      <w:tr w:rsidR="002858F9"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2858F9" w:rsidRPr="006A7933" w:rsidRDefault="00E13B95" w:rsidP="00E13B95">
            <w:pPr>
              <w:rPr>
                <w:b w:val="0"/>
              </w:rPr>
            </w:pPr>
            <w:r w:rsidRPr="006A7933">
              <w:rPr>
                <w:b w:val="0"/>
              </w:rPr>
              <w:t>Larynxtubenset</w:t>
            </w:r>
          </w:p>
        </w:tc>
        <w:tc>
          <w:tcPr>
            <w:tcW w:w="4603" w:type="dxa"/>
          </w:tcPr>
          <w:p w:rsidR="002858F9" w:rsidRDefault="0093112C" w:rsidP="0093112C">
            <w:pPr>
              <w:shd w:val="clear" w:color="auto" w:fill="FFFFFF"/>
              <w:spacing w:before="100" w:beforeAutospacing="1" w:after="100" w:afterAutospacing="1" w:line="300" w:lineRule="atLeast"/>
              <w:cnfStyle w:val="000000010000" w:firstRow="0" w:lastRow="0" w:firstColumn="0" w:lastColumn="0" w:oddVBand="0" w:evenVBand="0" w:oddHBand="0" w:evenHBand="1" w:firstRowFirstColumn="0" w:firstRowLastColumn="0" w:lastRowFirstColumn="0" w:lastRowLastColumn="0"/>
              <w:rPr>
                <w:b/>
              </w:rPr>
            </w:pPr>
            <w:r w:rsidRPr="0093112C">
              <w:rPr>
                <w:rFonts w:eastAsia="Times New Roman" w:cs="Arial"/>
                <w:lang w:eastAsia="de-DE"/>
              </w:rPr>
              <w:t>Größe 3 / gelb / für Erwachsene / &lt; 155 cm Größe 4 / rot / für Erwachsene / 155-180 cm Größe 5 / violett / für Erwachsene / &gt; 180 cm</w:t>
            </w:r>
          </w:p>
        </w:tc>
      </w:tr>
      <w:tr w:rsidR="00E13B95"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E13B95" w:rsidRPr="006A7933" w:rsidRDefault="0093112C" w:rsidP="00E13B95">
            <w:pPr>
              <w:rPr>
                <w:b w:val="0"/>
              </w:rPr>
            </w:pPr>
            <w:proofErr w:type="spellStart"/>
            <w:r w:rsidRPr="006A7933">
              <w:rPr>
                <w:b w:val="0"/>
              </w:rPr>
              <w:t>Guedeltubus</w:t>
            </w:r>
            <w:proofErr w:type="spellEnd"/>
          </w:p>
        </w:tc>
        <w:tc>
          <w:tcPr>
            <w:tcW w:w="4603" w:type="dxa"/>
          </w:tcPr>
          <w:p w:rsidR="00E13B95" w:rsidRDefault="0051017B">
            <w:pPr>
              <w:cnfStyle w:val="000000100000" w:firstRow="0" w:lastRow="0" w:firstColumn="0" w:lastColumn="0" w:oddVBand="0" w:evenVBand="0" w:oddHBand="1" w:evenHBand="0" w:firstRowFirstColumn="0" w:firstRowLastColumn="0" w:lastRowFirstColumn="0" w:lastRowLastColumn="0"/>
              <w:rPr>
                <w:b/>
              </w:rPr>
            </w:pPr>
            <w:r w:rsidRPr="0093112C">
              <w:t>Gr</w:t>
            </w:r>
            <w:r>
              <w:t>. 3-4 für Erwachsene, Gr.2 für Jugendliche</w:t>
            </w:r>
          </w:p>
        </w:tc>
      </w:tr>
      <w:tr w:rsidR="0093112C"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93112C" w:rsidP="00E13B95">
            <w:pPr>
              <w:rPr>
                <w:b w:val="0"/>
              </w:rPr>
            </w:pPr>
            <w:proofErr w:type="spellStart"/>
            <w:r w:rsidRPr="006A7933">
              <w:rPr>
                <w:b w:val="0"/>
              </w:rPr>
              <w:t>Wendltubus</w:t>
            </w:r>
            <w:proofErr w:type="spellEnd"/>
          </w:p>
        </w:tc>
        <w:tc>
          <w:tcPr>
            <w:tcW w:w="4603" w:type="dxa"/>
          </w:tcPr>
          <w:p w:rsidR="0093112C" w:rsidRPr="00936147" w:rsidRDefault="00936147">
            <w:pPr>
              <w:cnfStyle w:val="000000010000" w:firstRow="0" w:lastRow="0" w:firstColumn="0" w:lastColumn="0" w:oddVBand="0" w:evenVBand="0" w:oddHBand="0" w:evenHBand="1" w:firstRowFirstColumn="0" w:firstRowLastColumn="0" w:lastRowFirstColumn="0" w:lastRowLastColumn="0"/>
            </w:pPr>
            <w:proofErr w:type="spellStart"/>
            <w:r w:rsidRPr="00936147">
              <w:t>Ch</w:t>
            </w:r>
            <w:proofErr w:type="spellEnd"/>
            <w:r w:rsidRPr="00936147">
              <w:t xml:space="preserve"> 26, 28, 30, 32</w:t>
            </w:r>
            <w:r>
              <w:t xml:space="preserve"> für Erwachsene</w:t>
            </w:r>
          </w:p>
        </w:tc>
      </w:tr>
      <w:tr w:rsidR="0093112C"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93112C" w:rsidP="00E13B95">
            <w:pPr>
              <w:rPr>
                <w:b w:val="0"/>
              </w:rPr>
            </w:pPr>
            <w:proofErr w:type="spellStart"/>
            <w:r w:rsidRPr="006A7933">
              <w:rPr>
                <w:b w:val="0"/>
              </w:rPr>
              <w:t>Magillzange</w:t>
            </w:r>
            <w:proofErr w:type="spellEnd"/>
          </w:p>
        </w:tc>
        <w:tc>
          <w:tcPr>
            <w:tcW w:w="4603" w:type="dxa"/>
          </w:tcPr>
          <w:p w:rsidR="0093112C" w:rsidRDefault="0093112C">
            <w:pPr>
              <w:cnfStyle w:val="000000100000" w:firstRow="0" w:lastRow="0" w:firstColumn="0" w:lastColumn="0" w:oddVBand="0" w:evenVBand="0" w:oddHBand="1" w:evenHBand="0" w:firstRowFirstColumn="0" w:firstRowLastColumn="0" w:lastRowFirstColumn="0" w:lastRowLastColumn="0"/>
              <w:rPr>
                <w:b/>
              </w:rPr>
            </w:pPr>
          </w:p>
        </w:tc>
      </w:tr>
      <w:tr w:rsidR="0093112C"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936147" w:rsidP="00E13B95">
            <w:pPr>
              <w:rPr>
                <w:b w:val="0"/>
              </w:rPr>
            </w:pPr>
            <w:r w:rsidRPr="006A7933">
              <w:rPr>
                <w:b w:val="0"/>
              </w:rPr>
              <w:t>Sauerstoffbrille, Sauerstoffmaske</w:t>
            </w:r>
            <w:r w:rsidR="003A31DF" w:rsidRPr="006A7933">
              <w:rPr>
                <w:b w:val="0"/>
              </w:rPr>
              <w:t xml:space="preserve"> (mit Verbindungsschlauch zur Sauerstoffflasche)</w:t>
            </w:r>
          </w:p>
        </w:tc>
        <w:tc>
          <w:tcPr>
            <w:tcW w:w="4603" w:type="dxa"/>
          </w:tcPr>
          <w:p w:rsidR="0093112C" w:rsidRDefault="0093112C">
            <w:pPr>
              <w:cnfStyle w:val="000000010000" w:firstRow="0" w:lastRow="0" w:firstColumn="0" w:lastColumn="0" w:oddVBand="0" w:evenVBand="0" w:oddHBand="0" w:evenHBand="1" w:firstRowFirstColumn="0" w:firstRowLastColumn="0" w:lastRowFirstColumn="0" w:lastRowLastColumn="0"/>
              <w:rPr>
                <w:b/>
              </w:rPr>
            </w:pPr>
          </w:p>
        </w:tc>
      </w:tr>
      <w:tr w:rsidR="0093112C"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936147" w:rsidP="005C4DF8">
            <w:pPr>
              <w:rPr>
                <w:b w:val="0"/>
              </w:rPr>
            </w:pPr>
            <w:r w:rsidRPr="006A7933">
              <w:rPr>
                <w:b w:val="0"/>
              </w:rPr>
              <w:t>Inhalationsmaske</w:t>
            </w:r>
          </w:p>
        </w:tc>
        <w:tc>
          <w:tcPr>
            <w:tcW w:w="4603" w:type="dxa"/>
          </w:tcPr>
          <w:p w:rsidR="0093112C" w:rsidRDefault="0093112C" w:rsidP="005C4DF8">
            <w:pPr>
              <w:cnfStyle w:val="000000100000" w:firstRow="0" w:lastRow="0" w:firstColumn="0" w:lastColumn="0" w:oddVBand="0" w:evenVBand="0" w:oddHBand="1" w:evenHBand="0" w:firstRowFirstColumn="0" w:firstRowLastColumn="0" w:lastRowFirstColumn="0" w:lastRowLastColumn="0"/>
              <w:rPr>
                <w:b/>
              </w:rPr>
            </w:pPr>
          </w:p>
        </w:tc>
      </w:tr>
      <w:tr w:rsidR="00323A46"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323A46" w:rsidRPr="006A7933" w:rsidRDefault="00323A46" w:rsidP="005C4DF8">
            <w:pPr>
              <w:rPr>
                <w:b w:val="0"/>
              </w:rPr>
            </w:pPr>
            <w:r w:rsidRPr="006A7933">
              <w:rPr>
                <w:b w:val="0"/>
              </w:rPr>
              <w:t>Absaugkatheter + ggf. manuelle Absaugpumpe</w:t>
            </w:r>
          </w:p>
        </w:tc>
        <w:tc>
          <w:tcPr>
            <w:tcW w:w="4603" w:type="dxa"/>
          </w:tcPr>
          <w:p w:rsidR="00323A46" w:rsidRDefault="00323A46" w:rsidP="005C4DF8">
            <w:pPr>
              <w:cnfStyle w:val="000000010000" w:firstRow="0" w:lastRow="0" w:firstColumn="0" w:lastColumn="0" w:oddVBand="0" w:evenVBand="0" w:oddHBand="0" w:evenHBand="1" w:firstRowFirstColumn="0" w:firstRowLastColumn="0" w:lastRowFirstColumn="0" w:lastRowLastColumn="0"/>
              <w:rPr>
                <w:b/>
              </w:rPr>
            </w:pPr>
          </w:p>
        </w:tc>
      </w:tr>
      <w:tr w:rsidR="0064174E"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5" w:type="dxa"/>
            <w:gridSpan w:val="2"/>
          </w:tcPr>
          <w:p w:rsidR="0064174E" w:rsidRDefault="0064174E" w:rsidP="0064174E">
            <w:pPr>
              <w:jc w:val="center"/>
            </w:pPr>
            <w:r w:rsidRPr="004610C8">
              <w:t>Spritzenmaterial</w:t>
            </w:r>
          </w:p>
          <w:p w:rsidR="006A7933" w:rsidRPr="004610C8" w:rsidRDefault="006A7933" w:rsidP="0064174E">
            <w:pPr>
              <w:jc w:val="center"/>
              <w:rPr>
                <w:b w:val="0"/>
              </w:rPr>
            </w:pPr>
          </w:p>
        </w:tc>
      </w:tr>
      <w:tr w:rsidR="0093112C"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64174E" w:rsidP="005C4DF8">
            <w:pPr>
              <w:rPr>
                <w:b w:val="0"/>
              </w:rPr>
            </w:pPr>
            <w:r w:rsidRPr="006A7933">
              <w:rPr>
                <w:b w:val="0"/>
              </w:rPr>
              <w:t>Einmalspritzen</w:t>
            </w:r>
          </w:p>
        </w:tc>
        <w:tc>
          <w:tcPr>
            <w:tcW w:w="4603" w:type="dxa"/>
          </w:tcPr>
          <w:p w:rsidR="0093112C" w:rsidRPr="0064174E" w:rsidRDefault="0064174E" w:rsidP="005C4DF8">
            <w:pPr>
              <w:cnfStyle w:val="000000010000" w:firstRow="0" w:lastRow="0" w:firstColumn="0" w:lastColumn="0" w:oddVBand="0" w:evenVBand="0" w:oddHBand="0" w:evenHBand="1" w:firstRowFirstColumn="0" w:firstRowLastColumn="0" w:lastRowFirstColumn="0" w:lastRowLastColumn="0"/>
            </w:pPr>
            <w:r w:rsidRPr="0064174E">
              <w:t>2, 5, 10ml</w:t>
            </w:r>
            <w:r w:rsidR="00C70914">
              <w:t xml:space="preserve"> </w:t>
            </w:r>
            <w:proofErr w:type="spellStart"/>
            <w:r w:rsidR="00C70914">
              <w:t>Luer</w:t>
            </w:r>
            <w:proofErr w:type="spellEnd"/>
          </w:p>
        </w:tc>
      </w:tr>
      <w:tr w:rsidR="0093112C"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64174E" w:rsidP="005C4DF8">
            <w:pPr>
              <w:rPr>
                <w:b w:val="0"/>
              </w:rPr>
            </w:pPr>
            <w:r w:rsidRPr="006A7933">
              <w:rPr>
                <w:b w:val="0"/>
              </w:rPr>
              <w:t>Aufzugskanülen</w:t>
            </w:r>
          </w:p>
        </w:tc>
        <w:tc>
          <w:tcPr>
            <w:tcW w:w="4603" w:type="dxa"/>
          </w:tcPr>
          <w:p w:rsidR="0093112C" w:rsidRPr="00C70914" w:rsidRDefault="00C70914" w:rsidP="005C4DF8">
            <w:pPr>
              <w:cnfStyle w:val="000000100000" w:firstRow="0" w:lastRow="0" w:firstColumn="0" w:lastColumn="0" w:oddVBand="0" w:evenVBand="0" w:oddHBand="1" w:evenHBand="0" w:firstRowFirstColumn="0" w:firstRowLastColumn="0" w:lastRowFirstColumn="0" w:lastRowLastColumn="0"/>
            </w:pPr>
            <w:r w:rsidRPr="00C70914">
              <w:t>1,20x40 G18</w:t>
            </w:r>
          </w:p>
        </w:tc>
      </w:tr>
      <w:tr w:rsidR="0093112C"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64174E" w:rsidP="005C4DF8">
            <w:pPr>
              <w:rPr>
                <w:b w:val="0"/>
              </w:rPr>
            </w:pPr>
            <w:proofErr w:type="spellStart"/>
            <w:r w:rsidRPr="006A7933">
              <w:rPr>
                <w:b w:val="0"/>
              </w:rPr>
              <w:t>i.m</w:t>
            </w:r>
            <w:proofErr w:type="spellEnd"/>
            <w:r w:rsidRPr="006A7933">
              <w:rPr>
                <w:b w:val="0"/>
              </w:rPr>
              <w:t>. Kanülen</w:t>
            </w:r>
          </w:p>
        </w:tc>
        <w:tc>
          <w:tcPr>
            <w:tcW w:w="4603" w:type="dxa"/>
          </w:tcPr>
          <w:p w:rsidR="0093112C" w:rsidRPr="00C70914" w:rsidRDefault="00C70914" w:rsidP="005C4DF8">
            <w:pPr>
              <w:cnfStyle w:val="000000010000" w:firstRow="0" w:lastRow="0" w:firstColumn="0" w:lastColumn="0" w:oddVBand="0" w:evenVBand="0" w:oddHBand="0" w:evenHBand="1" w:firstRowFirstColumn="0" w:firstRowLastColumn="0" w:lastRowFirstColumn="0" w:lastRowLastColumn="0"/>
            </w:pPr>
            <w:r>
              <w:t>0,80x50 G21</w:t>
            </w:r>
          </w:p>
        </w:tc>
      </w:tr>
      <w:tr w:rsidR="0093112C"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C70914" w:rsidP="005C4DF8">
            <w:pPr>
              <w:rPr>
                <w:b w:val="0"/>
              </w:rPr>
            </w:pPr>
            <w:r w:rsidRPr="006A7933">
              <w:rPr>
                <w:b w:val="0"/>
              </w:rPr>
              <w:t>NaCl 0,9% Ampullen</w:t>
            </w:r>
          </w:p>
        </w:tc>
        <w:tc>
          <w:tcPr>
            <w:tcW w:w="4603" w:type="dxa"/>
          </w:tcPr>
          <w:p w:rsidR="0093112C" w:rsidRPr="00C70914" w:rsidRDefault="00C70914" w:rsidP="005C4DF8">
            <w:pPr>
              <w:cnfStyle w:val="000000100000" w:firstRow="0" w:lastRow="0" w:firstColumn="0" w:lastColumn="0" w:oddVBand="0" w:evenVBand="0" w:oddHBand="1" w:evenHBand="0" w:firstRowFirstColumn="0" w:firstRowLastColumn="0" w:lastRowFirstColumn="0" w:lastRowLastColumn="0"/>
            </w:pPr>
            <w:r w:rsidRPr="00C70914">
              <w:t>10ml</w:t>
            </w:r>
          </w:p>
        </w:tc>
      </w:tr>
      <w:tr w:rsidR="00C70914"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5" w:type="dxa"/>
            <w:gridSpan w:val="2"/>
          </w:tcPr>
          <w:p w:rsidR="00C70914" w:rsidRDefault="00C70914" w:rsidP="00C70914">
            <w:pPr>
              <w:jc w:val="center"/>
            </w:pPr>
            <w:r w:rsidRPr="004610C8">
              <w:t>Diagnose</w:t>
            </w:r>
          </w:p>
          <w:p w:rsidR="006A7933" w:rsidRPr="004610C8" w:rsidRDefault="006A7933" w:rsidP="00C70914">
            <w:pPr>
              <w:jc w:val="center"/>
              <w:rPr>
                <w:b w:val="0"/>
              </w:rPr>
            </w:pPr>
          </w:p>
        </w:tc>
      </w:tr>
      <w:tr w:rsidR="0093112C"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C70914" w:rsidP="005C4DF8">
            <w:pPr>
              <w:rPr>
                <w:b w:val="0"/>
              </w:rPr>
            </w:pPr>
            <w:r w:rsidRPr="006A7933">
              <w:rPr>
                <w:b w:val="0"/>
              </w:rPr>
              <w:t>Blutdruckmessgerät</w:t>
            </w:r>
          </w:p>
        </w:tc>
        <w:tc>
          <w:tcPr>
            <w:tcW w:w="4603" w:type="dxa"/>
          </w:tcPr>
          <w:p w:rsidR="0093112C" w:rsidRDefault="0093112C" w:rsidP="005C4DF8">
            <w:pPr>
              <w:cnfStyle w:val="000000100000" w:firstRow="0" w:lastRow="0" w:firstColumn="0" w:lastColumn="0" w:oddVBand="0" w:evenVBand="0" w:oddHBand="1" w:evenHBand="0" w:firstRowFirstColumn="0" w:firstRowLastColumn="0" w:lastRowFirstColumn="0" w:lastRowLastColumn="0"/>
              <w:rPr>
                <w:b/>
              </w:rPr>
            </w:pPr>
          </w:p>
        </w:tc>
      </w:tr>
      <w:tr w:rsidR="0093112C"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307FAC" w:rsidP="005C4DF8">
            <w:pPr>
              <w:rPr>
                <w:b w:val="0"/>
              </w:rPr>
            </w:pPr>
            <w:r w:rsidRPr="006A7933">
              <w:rPr>
                <w:b w:val="0"/>
              </w:rPr>
              <w:t>Stethoskop</w:t>
            </w:r>
          </w:p>
        </w:tc>
        <w:tc>
          <w:tcPr>
            <w:tcW w:w="4603" w:type="dxa"/>
          </w:tcPr>
          <w:p w:rsidR="0093112C" w:rsidRDefault="0093112C" w:rsidP="005C4DF8">
            <w:pPr>
              <w:cnfStyle w:val="000000010000" w:firstRow="0" w:lastRow="0" w:firstColumn="0" w:lastColumn="0" w:oddVBand="0" w:evenVBand="0" w:oddHBand="0" w:evenHBand="1" w:firstRowFirstColumn="0" w:firstRowLastColumn="0" w:lastRowFirstColumn="0" w:lastRowLastColumn="0"/>
              <w:rPr>
                <w:b/>
              </w:rPr>
            </w:pPr>
          </w:p>
        </w:tc>
      </w:tr>
      <w:tr w:rsidR="0093112C"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307FAC" w:rsidP="005C4DF8">
            <w:pPr>
              <w:rPr>
                <w:b w:val="0"/>
              </w:rPr>
            </w:pPr>
            <w:r w:rsidRPr="006A7933">
              <w:rPr>
                <w:b w:val="0"/>
              </w:rPr>
              <w:t>Diagnoseleuchte</w:t>
            </w:r>
          </w:p>
        </w:tc>
        <w:tc>
          <w:tcPr>
            <w:tcW w:w="4603" w:type="dxa"/>
          </w:tcPr>
          <w:p w:rsidR="0093112C" w:rsidRDefault="0093112C" w:rsidP="005C4DF8">
            <w:pPr>
              <w:cnfStyle w:val="000000100000" w:firstRow="0" w:lastRow="0" w:firstColumn="0" w:lastColumn="0" w:oddVBand="0" w:evenVBand="0" w:oddHBand="1" w:evenHBand="0" w:firstRowFirstColumn="0" w:firstRowLastColumn="0" w:lastRowFirstColumn="0" w:lastRowLastColumn="0"/>
              <w:rPr>
                <w:b/>
              </w:rPr>
            </w:pPr>
          </w:p>
        </w:tc>
      </w:tr>
      <w:tr w:rsidR="0093112C"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307FAC" w:rsidP="005C4DF8">
            <w:pPr>
              <w:rPr>
                <w:b w:val="0"/>
              </w:rPr>
            </w:pPr>
            <w:r w:rsidRPr="006A7933">
              <w:rPr>
                <w:b w:val="0"/>
              </w:rPr>
              <w:t>Blutzuckermessgerät</w:t>
            </w:r>
          </w:p>
        </w:tc>
        <w:tc>
          <w:tcPr>
            <w:tcW w:w="4603" w:type="dxa"/>
          </w:tcPr>
          <w:p w:rsidR="0093112C" w:rsidRDefault="0093112C" w:rsidP="005C4DF8">
            <w:pPr>
              <w:cnfStyle w:val="000000010000" w:firstRow="0" w:lastRow="0" w:firstColumn="0" w:lastColumn="0" w:oddVBand="0" w:evenVBand="0" w:oddHBand="0" w:evenHBand="1" w:firstRowFirstColumn="0" w:firstRowLastColumn="0" w:lastRowFirstColumn="0" w:lastRowLastColumn="0"/>
              <w:rPr>
                <w:b/>
              </w:rPr>
            </w:pPr>
          </w:p>
        </w:tc>
      </w:tr>
      <w:tr w:rsidR="00307FAC"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5" w:type="dxa"/>
            <w:gridSpan w:val="2"/>
          </w:tcPr>
          <w:p w:rsidR="00307FAC" w:rsidRDefault="00307FAC" w:rsidP="00307FAC">
            <w:pPr>
              <w:jc w:val="center"/>
            </w:pPr>
            <w:r w:rsidRPr="004610C8">
              <w:t>Sonstiges</w:t>
            </w:r>
          </w:p>
          <w:p w:rsidR="006A7933" w:rsidRPr="004610C8" w:rsidRDefault="006A7933" w:rsidP="00307FAC">
            <w:pPr>
              <w:jc w:val="center"/>
              <w:rPr>
                <w:b w:val="0"/>
              </w:rPr>
            </w:pPr>
          </w:p>
        </w:tc>
      </w:tr>
      <w:tr w:rsidR="0093112C"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307FAC" w:rsidP="005C4DF8">
            <w:pPr>
              <w:rPr>
                <w:b w:val="0"/>
              </w:rPr>
            </w:pPr>
            <w:r w:rsidRPr="006A7933">
              <w:rPr>
                <w:b w:val="0"/>
              </w:rPr>
              <w:t>Hyperventilationsmaske</w:t>
            </w:r>
          </w:p>
        </w:tc>
        <w:tc>
          <w:tcPr>
            <w:tcW w:w="4603" w:type="dxa"/>
          </w:tcPr>
          <w:p w:rsidR="0093112C" w:rsidRDefault="0093112C" w:rsidP="005C4DF8">
            <w:pPr>
              <w:cnfStyle w:val="000000010000" w:firstRow="0" w:lastRow="0" w:firstColumn="0" w:lastColumn="0" w:oddVBand="0" w:evenVBand="0" w:oddHBand="0" w:evenHBand="1" w:firstRowFirstColumn="0" w:firstRowLastColumn="0" w:lastRowFirstColumn="0" w:lastRowLastColumn="0"/>
              <w:rPr>
                <w:b/>
              </w:rPr>
            </w:pPr>
          </w:p>
        </w:tc>
      </w:tr>
      <w:tr w:rsidR="0093112C"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3112C" w:rsidRPr="006A7933" w:rsidRDefault="00307FAC" w:rsidP="005C4DF8">
            <w:pPr>
              <w:rPr>
                <w:b w:val="0"/>
              </w:rPr>
            </w:pPr>
            <w:r w:rsidRPr="006A7933">
              <w:rPr>
                <w:b w:val="0"/>
              </w:rPr>
              <w:t xml:space="preserve">Verbandmittelfüllung </w:t>
            </w:r>
          </w:p>
        </w:tc>
        <w:tc>
          <w:tcPr>
            <w:tcW w:w="4603" w:type="dxa"/>
          </w:tcPr>
          <w:p w:rsidR="0093112C" w:rsidRDefault="00307FAC" w:rsidP="005C4DF8">
            <w:pPr>
              <w:cnfStyle w:val="000000100000" w:firstRow="0" w:lastRow="0" w:firstColumn="0" w:lastColumn="0" w:oddVBand="0" w:evenVBand="0" w:oddHBand="1" w:evenHBand="0" w:firstRowFirstColumn="0" w:firstRowLastColumn="0" w:lastRowFirstColumn="0" w:lastRowLastColumn="0"/>
              <w:rPr>
                <w:b/>
              </w:rPr>
            </w:pPr>
            <w:r w:rsidRPr="00935B9C">
              <w:t>nach DIN 13 157</w:t>
            </w:r>
          </w:p>
        </w:tc>
      </w:tr>
      <w:tr w:rsidR="00323A46"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323A46" w:rsidRPr="006A7933" w:rsidRDefault="00323A46" w:rsidP="005C4DF8">
            <w:pPr>
              <w:rPr>
                <w:b w:val="0"/>
              </w:rPr>
            </w:pPr>
            <w:r w:rsidRPr="006A7933">
              <w:rPr>
                <w:b w:val="0"/>
              </w:rPr>
              <w:t>Einmalhandschuhe</w:t>
            </w:r>
          </w:p>
        </w:tc>
        <w:tc>
          <w:tcPr>
            <w:tcW w:w="4603" w:type="dxa"/>
          </w:tcPr>
          <w:p w:rsidR="00323A46" w:rsidRPr="00935B9C" w:rsidRDefault="00323A46" w:rsidP="005C4DF8">
            <w:pPr>
              <w:cnfStyle w:val="000000010000" w:firstRow="0" w:lastRow="0" w:firstColumn="0" w:lastColumn="0" w:oddVBand="0" w:evenVBand="0" w:oddHBand="0" w:evenHBand="1" w:firstRowFirstColumn="0" w:firstRowLastColumn="0" w:lastRowFirstColumn="0" w:lastRowLastColumn="0"/>
            </w:pPr>
            <w:r>
              <w:t>Größen S,M,L</w:t>
            </w:r>
          </w:p>
        </w:tc>
      </w:tr>
      <w:tr w:rsidR="009164D6" w:rsidRPr="00F37810"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5" w:type="dxa"/>
            <w:gridSpan w:val="2"/>
          </w:tcPr>
          <w:p w:rsidR="009164D6" w:rsidRDefault="009164D6" w:rsidP="009164D6">
            <w:pPr>
              <w:jc w:val="center"/>
            </w:pPr>
            <w:r w:rsidRPr="004610C8">
              <w:t>Intravenöser Zugang-optional</w:t>
            </w:r>
          </w:p>
          <w:p w:rsidR="006A7933" w:rsidRPr="004610C8" w:rsidRDefault="006A7933" w:rsidP="009164D6">
            <w:pPr>
              <w:jc w:val="center"/>
              <w:rPr>
                <w:b w:val="0"/>
              </w:rPr>
            </w:pPr>
          </w:p>
        </w:tc>
      </w:tr>
      <w:tr w:rsidR="009164D6"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164D6" w:rsidRPr="006A7933" w:rsidRDefault="009164D6" w:rsidP="00880252">
            <w:pPr>
              <w:rPr>
                <w:b w:val="0"/>
              </w:rPr>
            </w:pPr>
            <w:r w:rsidRPr="006A7933">
              <w:rPr>
                <w:b w:val="0"/>
              </w:rPr>
              <w:t>Stauschlauch</w:t>
            </w:r>
          </w:p>
        </w:tc>
        <w:tc>
          <w:tcPr>
            <w:tcW w:w="4603" w:type="dxa"/>
          </w:tcPr>
          <w:p w:rsidR="009164D6" w:rsidRDefault="009164D6" w:rsidP="00880252">
            <w:pPr>
              <w:cnfStyle w:val="000000010000" w:firstRow="0" w:lastRow="0" w:firstColumn="0" w:lastColumn="0" w:oddVBand="0" w:evenVBand="0" w:oddHBand="0" w:evenHBand="1" w:firstRowFirstColumn="0" w:firstRowLastColumn="0" w:lastRowFirstColumn="0" w:lastRowLastColumn="0"/>
            </w:pPr>
          </w:p>
        </w:tc>
      </w:tr>
      <w:tr w:rsidR="009164D6"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164D6" w:rsidRPr="006A7933" w:rsidRDefault="009164D6" w:rsidP="00880252">
            <w:pPr>
              <w:rPr>
                <w:b w:val="0"/>
              </w:rPr>
            </w:pPr>
            <w:r w:rsidRPr="006A7933">
              <w:rPr>
                <w:b w:val="0"/>
              </w:rPr>
              <w:t>Venenverweilkanüle</w:t>
            </w:r>
          </w:p>
        </w:tc>
        <w:tc>
          <w:tcPr>
            <w:tcW w:w="4603" w:type="dxa"/>
          </w:tcPr>
          <w:p w:rsidR="009164D6" w:rsidRDefault="009164D6" w:rsidP="00880252">
            <w:pPr>
              <w:cnfStyle w:val="000000100000" w:firstRow="0" w:lastRow="0" w:firstColumn="0" w:lastColumn="0" w:oddVBand="0" w:evenVBand="0" w:oddHBand="1" w:evenHBand="0" w:firstRowFirstColumn="0" w:firstRowLastColumn="0" w:lastRowFirstColumn="0" w:lastRowLastColumn="0"/>
            </w:pPr>
            <w:r>
              <w:t>G20 rosa, G18 grün</w:t>
            </w:r>
          </w:p>
        </w:tc>
      </w:tr>
      <w:tr w:rsidR="009164D6"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164D6" w:rsidRPr="006A7933" w:rsidRDefault="009164D6" w:rsidP="00880252">
            <w:pPr>
              <w:rPr>
                <w:b w:val="0"/>
              </w:rPr>
            </w:pPr>
            <w:r w:rsidRPr="006A7933">
              <w:rPr>
                <w:b w:val="0"/>
              </w:rPr>
              <w:t>Fixierpflaster für Venenverweilkanülen</w:t>
            </w:r>
          </w:p>
        </w:tc>
        <w:tc>
          <w:tcPr>
            <w:tcW w:w="4603" w:type="dxa"/>
          </w:tcPr>
          <w:p w:rsidR="009164D6" w:rsidRDefault="009164D6" w:rsidP="00880252">
            <w:pPr>
              <w:cnfStyle w:val="000000010000" w:firstRow="0" w:lastRow="0" w:firstColumn="0" w:lastColumn="0" w:oddVBand="0" w:evenVBand="0" w:oddHBand="0" w:evenHBand="1" w:firstRowFirstColumn="0" w:firstRowLastColumn="0" w:lastRowFirstColumn="0" w:lastRowLastColumn="0"/>
            </w:pPr>
          </w:p>
        </w:tc>
      </w:tr>
      <w:tr w:rsidR="009164D6"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164D6" w:rsidRPr="006A7933" w:rsidRDefault="009164D6" w:rsidP="00880252">
            <w:pPr>
              <w:rPr>
                <w:b w:val="0"/>
              </w:rPr>
            </w:pPr>
            <w:r w:rsidRPr="006A7933">
              <w:rPr>
                <w:b w:val="0"/>
              </w:rPr>
              <w:t>Hautdesinfektionsmittel</w:t>
            </w:r>
          </w:p>
        </w:tc>
        <w:tc>
          <w:tcPr>
            <w:tcW w:w="4603" w:type="dxa"/>
          </w:tcPr>
          <w:p w:rsidR="009164D6" w:rsidRDefault="009164D6" w:rsidP="00880252">
            <w:pPr>
              <w:cnfStyle w:val="000000100000" w:firstRow="0" w:lastRow="0" w:firstColumn="0" w:lastColumn="0" w:oddVBand="0" w:evenVBand="0" w:oddHBand="1" w:evenHBand="0" w:firstRowFirstColumn="0" w:firstRowLastColumn="0" w:lastRowFirstColumn="0" w:lastRowLastColumn="0"/>
            </w:pPr>
            <w:proofErr w:type="spellStart"/>
            <w:r>
              <w:t>Cutasept</w:t>
            </w:r>
            <w:proofErr w:type="spellEnd"/>
          </w:p>
        </w:tc>
      </w:tr>
      <w:tr w:rsidR="009164D6"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164D6" w:rsidRPr="006A7933" w:rsidRDefault="009164D6" w:rsidP="00880252">
            <w:pPr>
              <w:rPr>
                <w:b w:val="0"/>
              </w:rPr>
            </w:pPr>
            <w:r w:rsidRPr="006A7933">
              <w:rPr>
                <w:b w:val="0"/>
              </w:rPr>
              <w:t xml:space="preserve">sterile Tupfer oder </w:t>
            </w:r>
            <w:proofErr w:type="spellStart"/>
            <w:r w:rsidRPr="006A7933">
              <w:rPr>
                <w:b w:val="0"/>
              </w:rPr>
              <w:t>Zelletten</w:t>
            </w:r>
            <w:proofErr w:type="spellEnd"/>
          </w:p>
        </w:tc>
        <w:tc>
          <w:tcPr>
            <w:tcW w:w="4603" w:type="dxa"/>
          </w:tcPr>
          <w:p w:rsidR="009164D6" w:rsidRDefault="009164D6" w:rsidP="00880252">
            <w:pPr>
              <w:cnfStyle w:val="000000010000" w:firstRow="0" w:lastRow="0" w:firstColumn="0" w:lastColumn="0" w:oddVBand="0" w:evenVBand="0" w:oddHBand="0" w:evenHBand="1" w:firstRowFirstColumn="0" w:firstRowLastColumn="0" w:lastRowFirstColumn="0" w:lastRowLastColumn="0"/>
            </w:pPr>
          </w:p>
        </w:tc>
      </w:tr>
      <w:tr w:rsidR="009164D6"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164D6" w:rsidRPr="006A7933" w:rsidRDefault="009164D6" w:rsidP="00880252">
            <w:pPr>
              <w:rPr>
                <w:b w:val="0"/>
              </w:rPr>
            </w:pPr>
            <w:proofErr w:type="spellStart"/>
            <w:r w:rsidRPr="006A7933">
              <w:rPr>
                <w:b w:val="0"/>
              </w:rPr>
              <w:t>Kanülenabwurfbox</w:t>
            </w:r>
            <w:proofErr w:type="spellEnd"/>
          </w:p>
        </w:tc>
        <w:tc>
          <w:tcPr>
            <w:tcW w:w="4603" w:type="dxa"/>
          </w:tcPr>
          <w:p w:rsidR="009164D6" w:rsidRDefault="009164D6" w:rsidP="00880252">
            <w:pPr>
              <w:cnfStyle w:val="000000100000" w:firstRow="0" w:lastRow="0" w:firstColumn="0" w:lastColumn="0" w:oddVBand="0" w:evenVBand="0" w:oddHBand="1" w:evenHBand="0" w:firstRowFirstColumn="0" w:firstRowLastColumn="0" w:lastRowFirstColumn="0" w:lastRowLastColumn="0"/>
            </w:pPr>
          </w:p>
        </w:tc>
      </w:tr>
      <w:tr w:rsidR="009164D6" w:rsidTr="006A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164D6" w:rsidRPr="006A7933" w:rsidRDefault="009164D6" w:rsidP="00880252">
            <w:pPr>
              <w:rPr>
                <w:b w:val="0"/>
              </w:rPr>
            </w:pPr>
            <w:r w:rsidRPr="006A7933">
              <w:rPr>
                <w:b w:val="0"/>
              </w:rPr>
              <w:t>Pflasterrolle</w:t>
            </w:r>
          </w:p>
        </w:tc>
        <w:tc>
          <w:tcPr>
            <w:tcW w:w="4603" w:type="dxa"/>
          </w:tcPr>
          <w:p w:rsidR="009164D6" w:rsidRDefault="009164D6" w:rsidP="00880252">
            <w:pPr>
              <w:cnfStyle w:val="000000010000" w:firstRow="0" w:lastRow="0" w:firstColumn="0" w:lastColumn="0" w:oddVBand="0" w:evenVBand="0" w:oddHBand="0" w:evenHBand="1" w:firstRowFirstColumn="0" w:firstRowLastColumn="0" w:lastRowFirstColumn="0" w:lastRowLastColumn="0"/>
            </w:pPr>
          </w:p>
        </w:tc>
      </w:tr>
      <w:tr w:rsidR="009164D6" w:rsidTr="006A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9164D6" w:rsidRPr="006A7933" w:rsidRDefault="009164D6" w:rsidP="00880252">
            <w:pPr>
              <w:rPr>
                <w:b w:val="0"/>
              </w:rPr>
            </w:pPr>
            <w:r w:rsidRPr="006A7933">
              <w:rPr>
                <w:b w:val="0"/>
              </w:rPr>
              <w:t>Infusionslösung+ Infusionsbesteck</w:t>
            </w:r>
          </w:p>
        </w:tc>
        <w:tc>
          <w:tcPr>
            <w:tcW w:w="4603" w:type="dxa"/>
          </w:tcPr>
          <w:p w:rsidR="009164D6" w:rsidRDefault="009164D6" w:rsidP="00880252">
            <w:pPr>
              <w:cnfStyle w:val="000000100000" w:firstRow="0" w:lastRow="0" w:firstColumn="0" w:lastColumn="0" w:oddVBand="0" w:evenVBand="0" w:oddHBand="1" w:evenHBand="0" w:firstRowFirstColumn="0" w:firstRowLastColumn="0" w:lastRowFirstColumn="0" w:lastRowLastColumn="0"/>
            </w:pPr>
            <w:r>
              <w:t xml:space="preserve">500ml </w:t>
            </w:r>
            <w:r w:rsidR="003A31DF">
              <w:t xml:space="preserve">Ringer Lösung </w:t>
            </w:r>
          </w:p>
        </w:tc>
      </w:tr>
    </w:tbl>
    <w:p w:rsidR="00A45B07" w:rsidRDefault="00A45B07" w:rsidP="00A45B07">
      <w:pPr>
        <w:spacing w:after="0"/>
      </w:pPr>
    </w:p>
    <w:p w:rsidR="00325014" w:rsidRPr="00325014" w:rsidRDefault="00325014" w:rsidP="00A45B07">
      <w:pPr>
        <w:spacing w:after="0"/>
      </w:pPr>
    </w:p>
    <w:p w:rsidR="00555E1F" w:rsidRPr="00555E1F" w:rsidRDefault="00555E1F" w:rsidP="00555E1F">
      <w:pPr>
        <w:spacing w:after="0"/>
        <w:jc w:val="both"/>
        <w:rPr>
          <w:sz w:val="18"/>
          <w:szCs w:val="18"/>
        </w:rPr>
      </w:pPr>
      <w:r>
        <w:rPr>
          <w:sz w:val="18"/>
          <w:szCs w:val="18"/>
        </w:rPr>
        <w:lastRenderedPageBreak/>
        <w:t>Der Stand der medizinischen Wissenschaft ist durch Forschung und klinische Erfahrung in ständigem Wandel. Die Mitarbeiter des MITZ haben größte Mühe darauf verwendet, dass die Angaben in diesem Handout korrekt sind und dem derzeitigen Wissensstand entsprechen. Für die Angaben im Handout kann vom MITZ jedoch keine Gewähr übernommen werden. Jeder Benutzer ist dazu aufgefordert, die Angaben gegebenenfalls zu überprüfen und in eigener Verantwortung am Patienten zu handeln.</w:t>
      </w:r>
      <w:r w:rsidR="001A6E02">
        <w:rPr>
          <w:sz w:val="18"/>
          <w:szCs w:val="18"/>
        </w:rPr>
        <w:t xml:space="preserve"> Die </w:t>
      </w:r>
      <w:r w:rsidR="00712DB0">
        <w:rPr>
          <w:sz w:val="18"/>
          <w:szCs w:val="18"/>
        </w:rPr>
        <w:t xml:space="preserve">angegebenen </w:t>
      </w:r>
      <w:r w:rsidR="0025486C">
        <w:rPr>
          <w:sz w:val="18"/>
          <w:szCs w:val="18"/>
        </w:rPr>
        <w:t>Dosierungen sind, wenn nicht anders angegeben, auf Erwachsene</w:t>
      </w:r>
      <w:r w:rsidR="001A6E02">
        <w:rPr>
          <w:sz w:val="18"/>
          <w:szCs w:val="18"/>
        </w:rPr>
        <w:t xml:space="preserve"> abgestimmt.</w:t>
      </w:r>
    </w:p>
    <w:p w:rsidR="00497153" w:rsidRPr="00325014" w:rsidRDefault="00497153" w:rsidP="00A45B07">
      <w:pPr>
        <w:spacing w:after="0"/>
      </w:pPr>
    </w:p>
    <w:tbl>
      <w:tblPr>
        <w:tblStyle w:val="HellesRaster-Akzent3"/>
        <w:tblW w:w="10031" w:type="dxa"/>
        <w:tblLayout w:type="fixed"/>
        <w:tblLook w:val="04A0" w:firstRow="1" w:lastRow="0" w:firstColumn="1" w:lastColumn="0" w:noHBand="0" w:noVBand="1"/>
      </w:tblPr>
      <w:tblGrid>
        <w:gridCol w:w="2660"/>
        <w:gridCol w:w="1701"/>
        <w:gridCol w:w="2268"/>
        <w:gridCol w:w="3402"/>
      </w:tblGrid>
      <w:tr w:rsidR="00C35DE1" w:rsidTr="00A77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834D9" w:rsidRPr="008566E2" w:rsidRDefault="00C35DE1" w:rsidP="00A45B07">
            <w:pPr>
              <w:rPr>
                <w:b w:val="0"/>
                <w:sz w:val="32"/>
                <w:szCs w:val="32"/>
                <w:lang w:val="en-US"/>
              </w:rPr>
            </w:pPr>
            <w:proofErr w:type="spellStart"/>
            <w:r w:rsidRPr="008566E2">
              <w:rPr>
                <w:sz w:val="32"/>
                <w:szCs w:val="32"/>
                <w:lang w:val="en-US"/>
              </w:rPr>
              <w:t>Wirkstoff</w:t>
            </w:r>
            <w:proofErr w:type="spellEnd"/>
          </w:p>
        </w:tc>
        <w:tc>
          <w:tcPr>
            <w:tcW w:w="1701" w:type="dxa"/>
          </w:tcPr>
          <w:p w:rsidR="007834D9" w:rsidRPr="008566E2" w:rsidRDefault="007834D9" w:rsidP="00A45B07">
            <w:pPr>
              <w:cnfStyle w:val="100000000000" w:firstRow="1" w:lastRow="0" w:firstColumn="0" w:lastColumn="0" w:oddVBand="0" w:evenVBand="0" w:oddHBand="0" w:evenHBand="0" w:firstRowFirstColumn="0" w:firstRowLastColumn="0" w:lastRowFirstColumn="0" w:lastRowLastColumn="0"/>
              <w:rPr>
                <w:b w:val="0"/>
                <w:sz w:val="32"/>
                <w:szCs w:val="32"/>
                <w:lang w:val="en-US"/>
              </w:rPr>
            </w:pPr>
            <w:proofErr w:type="spellStart"/>
            <w:r w:rsidRPr="008566E2">
              <w:rPr>
                <w:sz w:val="32"/>
                <w:szCs w:val="32"/>
                <w:lang w:val="en-US"/>
              </w:rPr>
              <w:t>Handels</w:t>
            </w:r>
            <w:proofErr w:type="spellEnd"/>
            <w:r w:rsidR="001D365A">
              <w:rPr>
                <w:sz w:val="32"/>
                <w:szCs w:val="32"/>
                <w:lang w:val="en-US"/>
              </w:rPr>
              <w:t>-</w:t>
            </w:r>
            <w:r w:rsidRPr="008566E2">
              <w:rPr>
                <w:sz w:val="32"/>
                <w:szCs w:val="32"/>
                <w:lang w:val="en-US"/>
              </w:rPr>
              <w:t>name</w:t>
            </w:r>
          </w:p>
        </w:tc>
        <w:tc>
          <w:tcPr>
            <w:tcW w:w="2268" w:type="dxa"/>
          </w:tcPr>
          <w:p w:rsidR="007834D9" w:rsidRPr="008566E2" w:rsidRDefault="007173F2" w:rsidP="00A45B07">
            <w:pPr>
              <w:cnfStyle w:val="100000000000" w:firstRow="1" w:lastRow="0" w:firstColumn="0" w:lastColumn="0" w:oddVBand="0" w:evenVBand="0" w:oddHBand="0" w:evenHBand="0" w:firstRowFirstColumn="0" w:firstRowLastColumn="0" w:lastRowFirstColumn="0" w:lastRowLastColumn="0"/>
              <w:rPr>
                <w:b w:val="0"/>
                <w:sz w:val="32"/>
                <w:szCs w:val="32"/>
                <w:lang w:val="en-US"/>
              </w:rPr>
            </w:pPr>
            <w:proofErr w:type="spellStart"/>
            <w:r w:rsidRPr="008566E2">
              <w:rPr>
                <w:sz w:val="32"/>
                <w:szCs w:val="32"/>
                <w:lang w:val="en-US"/>
              </w:rPr>
              <w:t>Zubereitungs</w:t>
            </w:r>
            <w:proofErr w:type="spellEnd"/>
            <w:r w:rsidR="001D365A">
              <w:rPr>
                <w:sz w:val="32"/>
                <w:szCs w:val="32"/>
                <w:lang w:val="en-US"/>
              </w:rPr>
              <w:t>-</w:t>
            </w:r>
            <w:r w:rsidRPr="008566E2">
              <w:rPr>
                <w:sz w:val="32"/>
                <w:szCs w:val="32"/>
                <w:lang w:val="en-US"/>
              </w:rPr>
              <w:t>form</w:t>
            </w:r>
          </w:p>
        </w:tc>
        <w:tc>
          <w:tcPr>
            <w:tcW w:w="3402" w:type="dxa"/>
          </w:tcPr>
          <w:p w:rsidR="007834D9" w:rsidRPr="008566E2" w:rsidRDefault="007173F2" w:rsidP="00A45B07">
            <w:pPr>
              <w:cnfStyle w:val="100000000000" w:firstRow="1" w:lastRow="0" w:firstColumn="0" w:lastColumn="0" w:oddVBand="0" w:evenVBand="0" w:oddHBand="0" w:evenHBand="0" w:firstRowFirstColumn="0" w:firstRowLastColumn="0" w:lastRowFirstColumn="0" w:lastRowLastColumn="0"/>
              <w:rPr>
                <w:b w:val="0"/>
                <w:sz w:val="32"/>
                <w:szCs w:val="32"/>
                <w:lang w:val="en-US"/>
              </w:rPr>
            </w:pPr>
            <w:proofErr w:type="spellStart"/>
            <w:r w:rsidRPr="008566E2">
              <w:rPr>
                <w:sz w:val="32"/>
                <w:szCs w:val="32"/>
                <w:lang w:val="en-US"/>
              </w:rPr>
              <w:t>Indikation</w:t>
            </w:r>
            <w:proofErr w:type="spellEnd"/>
          </w:p>
        </w:tc>
      </w:tr>
      <w:tr w:rsidR="00F51F38" w:rsidRPr="007173F2" w:rsidTr="00A7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834D9" w:rsidRDefault="007173F2" w:rsidP="00A45B07">
            <w:pPr>
              <w:rPr>
                <w:lang w:val="en-US"/>
              </w:rPr>
            </w:pPr>
            <w:proofErr w:type="spellStart"/>
            <w:r w:rsidRPr="007173F2">
              <w:rPr>
                <w:lang w:val="en-US"/>
              </w:rPr>
              <w:t>Epinephrinlösung</w:t>
            </w:r>
            <w:proofErr w:type="spellEnd"/>
          </w:p>
          <w:p w:rsidR="007173F2" w:rsidRPr="007173F2" w:rsidRDefault="007173F2" w:rsidP="00A45B07">
            <w:pPr>
              <w:rPr>
                <w:lang w:val="en-US"/>
              </w:rPr>
            </w:pPr>
            <w:r>
              <w:rPr>
                <w:lang w:val="en-US"/>
              </w:rPr>
              <w:t>(Adrenalin)</w:t>
            </w:r>
          </w:p>
        </w:tc>
        <w:tc>
          <w:tcPr>
            <w:tcW w:w="1701" w:type="dxa"/>
          </w:tcPr>
          <w:p w:rsidR="007834D9" w:rsidRPr="007173F2" w:rsidRDefault="00C35DE1" w:rsidP="00A45B07">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Suprarenin</w:t>
            </w:r>
            <w:proofErr w:type="spellEnd"/>
            <w:r>
              <w:rPr>
                <w:lang w:val="en-US"/>
              </w:rPr>
              <w:t>®</w:t>
            </w:r>
          </w:p>
        </w:tc>
        <w:tc>
          <w:tcPr>
            <w:tcW w:w="2268" w:type="dxa"/>
          </w:tcPr>
          <w:p w:rsidR="007834D9" w:rsidRPr="007173F2" w:rsidRDefault="007173F2" w:rsidP="00A45B07">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Ampullen</w:t>
            </w:r>
            <w:proofErr w:type="spellEnd"/>
          </w:p>
        </w:tc>
        <w:tc>
          <w:tcPr>
            <w:tcW w:w="3402" w:type="dxa"/>
          </w:tcPr>
          <w:p w:rsidR="007834D9" w:rsidRPr="007173F2" w:rsidRDefault="007173F2" w:rsidP="00A45B07">
            <w:pPr>
              <w:cnfStyle w:val="000000100000" w:firstRow="0" w:lastRow="0" w:firstColumn="0" w:lastColumn="0" w:oddVBand="0" w:evenVBand="0" w:oddHBand="1" w:evenHBand="0" w:firstRowFirstColumn="0" w:firstRowLastColumn="0" w:lastRowFirstColumn="0" w:lastRowLastColumn="0"/>
            </w:pPr>
            <w:r w:rsidRPr="007173F2">
              <w:rPr>
                <w:b/>
              </w:rPr>
              <w:t>Anaphylaxie:</w:t>
            </w:r>
            <w:r w:rsidRPr="007173F2">
              <w:t xml:space="preserve"> 0,5mg </w:t>
            </w:r>
            <w:proofErr w:type="spellStart"/>
            <w:r w:rsidRPr="007173F2">
              <w:t>i.m</w:t>
            </w:r>
            <w:proofErr w:type="spellEnd"/>
            <w:r w:rsidRPr="007173F2">
              <w:t>.</w:t>
            </w:r>
            <w:r w:rsidR="005076D4">
              <w:t xml:space="preserve"> (unverdünnt)</w:t>
            </w:r>
          </w:p>
          <w:p w:rsidR="001D365A" w:rsidRDefault="007173F2" w:rsidP="007F4E27">
            <w:pPr>
              <w:cnfStyle w:val="000000100000" w:firstRow="0" w:lastRow="0" w:firstColumn="0" w:lastColumn="0" w:oddVBand="0" w:evenVBand="0" w:oddHBand="1" w:evenHBand="0" w:firstRowFirstColumn="0" w:firstRowLastColumn="0" w:lastRowFirstColumn="0" w:lastRowLastColumn="0"/>
            </w:pPr>
            <w:r w:rsidRPr="007173F2">
              <w:rPr>
                <w:b/>
              </w:rPr>
              <w:t>Herz-Kreislauf-Stillstand:</w:t>
            </w:r>
            <w:r>
              <w:t xml:space="preserve"> </w:t>
            </w:r>
          </w:p>
          <w:p w:rsidR="007173F2" w:rsidRPr="007173F2" w:rsidRDefault="007173F2" w:rsidP="007F4E27">
            <w:pPr>
              <w:cnfStyle w:val="000000100000" w:firstRow="0" w:lastRow="0" w:firstColumn="0" w:lastColumn="0" w:oddVBand="0" w:evenVBand="0" w:oddHBand="1" w:evenHBand="0" w:firstRowFirstColumn="0" w:firstRowLastColumn="0" w:lastRowFirstColumn="0" w:lastRowLastColumn="0"/>
            </w:pPr>
            <w:r>
              <w:t>1mg verdünnt</w:t>
            </w:r>
            <w:r w:rsidR="007F4E27">
              <w:t xml:space="preserve"> (mit NaCl 0,9%) </w:t>
            </w:r>
            <w:proofErr w:type="spellStart"/>
            <w:r w:rsidR="007F4E27">
              <w:t>i.v.</w:t>
            </w:r>
            <w:proofErr w:type="spellEnd"/>
            <w:r>
              <w:t xml:space="preserve"> auf</w:t>
            </w:r>
            <w:r w:rsidR="00FD0765">
              <w:t xml:space="preserve"> 10ml </w:t>
            </w:r>
          </w:p>
        </w:tc>
      </w:tr>
      <w:tr w:rsidR="00F51F38" w:rsidRPr="007173F2" w:rsidTr="00A77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834D9" w:rsidRDefault="00F51F38" w:rsidP="00A45B07">
            <w:r>
              <w:t>β2-Sypathomimetika</w:t>
            </w:r>
          </w:p>
          <w:p w:rsidR="00833E91" w:rsidRPr="007173F2" w:rsidRDefault="00833E91" w:rsidP="00A45B07">
            <w:proofErr w:type="spellStart"/>
            <w:r>
              <w:t>Fenoterol</w:t>
            </w:r>
            <w:proofErr w:type="spellEnd"/>
            <w:r>
              <w:t>/</w:t>
            </w:r>
            <w:proofErr w:type="spellStart"/>
            <w:r>
              <w:t>Salbutamol</w:t>
            </w:r>
            <w:proofErr w:type="spellEnd"/>
          </w:p>
        </w:tc>
        <w:tc>
          <w:tcPr>
            <w:tcW w:w="1701" w:type="dxa"/>
          </w:tcPr>
          <w:p w:rsidR="00C35DE1" w:rsidRDefault="00C35DE1" w:rsidP="00C35DE1">
            <w:pPr>
              <w:cnfStyle w:val="000000010000" w:firstRow="0" w:lastRow="0" w:firstColumn="0" w:lastColumn="0" w:oddVBand="0" w:evenVBand="0" w:oddHBand="0" w:evenHBand="1" w:firstRowFirstColumn="0" w:firstRowLastColumn="0" w:lastRowFirstColumn="0" w:lastRowLastColumn="0"/>
            </w:pPr>
            <w:proofErr w:type="spellStart"/>
            <w:r>
              <w:t>Berotec</w:t>
            </w:r>
            <w:proofErr w:type="spellEnd"/>
            <w:r>
              <w:t>® N</w:t>
            </w:r>
            <w:r w:rsidR="00F51F38">
              <w:t xml:space="preserve"> </w:t>
            </w:r>
            <w:r w:rsidR="00F51F38" w:rsidRPr="00F51F38">
              <w:rPr>
                <w:b/>
              </w:rPr>
              <w:t>oder</w:t>
            </w:r>
          </w:p>
          <w:p w:rsidR="007173F2" w:rsidRPr="007173F2" w:rsidRDefault="00C35DE1" w:rsidP="00C35DE1">
            <w:pPr>
              <w:cnfStyle w:val="000000010000" w:firstRow="0" w:lastRow="0" w:firstColumn="0" w:lastColumn="0" w:oddVBand="0" w:evenVBand="0" w:oddHBand="0" w:evenHBand="1" w:firstRowFirstColumn="0" w:firstRowLastColumn="0" w:lastRowFirstColumn="0" w:lastRowLastColumn="0"/>
              <w:rPr>
                <w:b/>
              </w:rPr>
            </w:pPr>
            <w:proofErr w:type="spellStart"/>
            <w:r>
              <w:t>Sultanol</w:t>
            </w:r>
            <w:proofErr w:type="spellEnd"/>
            <w:r>
              <w:t>®</w:t>
            </w:r>
          </w:p>
        </w:tc>
        <w:tc>
          <w:tcPr>
            <w:tcW w:w="2268" w:type="dxa"/>
          </w:tcPr>
          <w:p w:rsidR="007834D9" w:rsidRPr="007173F2" w:rsidRDefault="007173F2" w:rsidP="00A45B07">
            <w:pPr>
              <w:cnfStyle w:val="000000010000" w:firstRow="0" w:lastRow="0" w:firstColumn="0" w:lastColumn="0" w:oddVBand="0" w:evenVBand="0" w:oddHBand="0" w:evenHBand="1" w:firstRowFirstColumn="0" w:firstRowLastColumn="0" w:lastRowFirstColumn="0" w:lastRowLastColumn="0"/>
            </w:pPr>
            <w:r w:rsidRPr="007173F2">
              <w:t>Dosier-</w:t>
            </w:r>
          </w:p>
          <w:p w:rsidR="007173F2" w:rsidRPr="007173F2" w:rsidRDefault="007173F2" w:rsidP="00A45B07">
            <w:pPr>
              <w:cnfStyle w:val="000000010000" w:firstRow="0" w:lastRow="0" w:firstColumn="0" w:lastColumn="0" w:oddVBand="0" w:evenVBand="0" w:oddHBand="0" w:evenHBand="1" w:firstRowFirstColumn="0" w:firstRowLastColumn="0" w:lastRowFirstColumn="0" w:lastRowLastColumn="0"/>
              <w:rPr>
                <w:b/>
              </w:rPr>
            </w:pPr>
            <w:r w:rsidRPr="007173F2">
              <w:t>Aerosol</w:t>
            </w:r>
          </w:p>
        </w:tc>
        <w:tc>
          <w:tcPr>
            <w:tcW w:w="3402" w:type="dxa"/>
          </w:tcPr>
          <w:p w:rsidR="007834D9" w:rsidRPr="00C35DE1" w:rsidRDefault="00833E91" w:rsidP="00A45B07">
            <w:pPr>
              <w:cnfStyle w:val="000000010000" w:firstRow="0" w:lastRow="0" w:firstColumn="0" w:lastColumn="0" w:oddVBand="0" w:evenVBand="0" w:oddHBand="0" w:evenHBand="1" w:firstRowFirstColumn="0" w:firstRowLastColumn="0" w:lastRowFirstColumn="0" w:lastRowLastColumn="0"/>
              <w:rPr>
                <w:b/>
              </w:rPr>
            </w:pPr>
            <w:proofErr w:type="spellStart"/>
            <w:r w:rsidRPr="00C35DE1">
              <w:rPr>
                <w:b/>
              </w:rPr>
              <w:t>Bronchospastik</w:t>
            </w:r>
            <w:proofErr w:type="spellEnd"/>
            <w:r w:rsidRPr="00C35DE1">
              <w:rPr>
                <w:b/>
              </w:rPr>
              <w:t>, Asthmaanfall</w:t>
            </w:r>
          </w:p>
          <w:p w:rsidR="00833E91" w:rsidRPr="00833E91" w:rsidRDefault="00833E91" w:rsidP="00A45B07">
            <w:pPr>
              <w:cnfStyle w:val="000000010000" w:firstRow="0" w:lastRow="0" w:firstColumn="0" w:lastColumn="0" w:oddVBand="0" w:evenVBand="0" w:oddHBand="0" w:evenHBand="1" w:firstRowFirstColumn="0" w:firstRowLastColumn="0" w:lastRowFirstColumn="0" w:lastRowLastColumn="0"/>
            </w:pPr>
            <w:r>
              <w:t>2 Hub zur Inhalation</w:t>
            </w:r>
          </w:p>
        </w:tc>
      </w:tr>
      <w:tr w:rsidR="00F51F38" w:rsidRPr="007173F2" w:rsidTr="00A7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834D9" w:rsidRDefault="00833E91" w:rsidP="00A45B07">
            <w:proofErr w:type="spellStart"/>
            <w:r w:rsidRPr="00833E91">
              <w:t>Glucocorticoid</w:t>
            </w:r>
            <w:proofErr w:type="spellEnd"/>
            <w:r w:rsidR="00C35DE1">
              <w:t>:</w:t>
            </w:r>
          </w:p>
          <w:p w:rsidR="00C35DE1" w:rsidRPr="00833E91" w:rsidRDefault="00F51F38" w:rsidP="00D4171B">
            <w:proofErr w:type="spellStart"/>
            <w:r>
              <w:t>Prednisolon</w:t>
            </w:r>
            <w:proofErr w:type="spellEnd"/>
            <w:r>
              <w:t xml:space="preserve"> </w:t>
            </w:r>
          </w:p>
        </w:tc>
        <w:tc>
          <w:tcPr>
            <w:tcW w:w="1701" w:type="dxa"/>
          </w:tcPr>
          <w:p w:rsidR="00CF2B8F" w:rsidRPr="00C35DE1" w:rsidRDefault="00C35DE1" w:rsidP="00CF2B8F">
            <w:pPr>
              <w:cnfStyle w:val="000000100000" w:firstRow="0" w:lastRow="0" w:firstColumn="0" w:lastColumn="0" w:oddVBand="0" w:evenVBand="0" w:oddHBand="1" w:evenHBand="0" w:firstRowFirstColumn="0" w:firstRowLastColumn="0" w:lastRowFirstColumn="0" w:lastRowLastColumn="0"/>
            </w:pPr>
            <w:proofErr w:type="spellStart"/>
            <w:r w:rsidRPr="00C35DE1">
              <w:t>Solu</w:t>
            </w:r>
            <w:proofErr w:type="spellEnd"/>
            <w:r w:rsidRPr="00C35DE1">
              <w:t xml:space="preserve"> </w:t>
            </w:r>
            <w:proofErr w:type="spellStart"/>
            <w:r w:rsidRPr="00C35DE1">
              <w:t>Decortin</w:t>
            </w:r>
            <w:proofErr w:type="spellEnd"/>
            <w:r w:rsidRPr="00C35DE1">
              <w:t>®-H 250</w:t>
            </w:r>
            <w:r w:rsidR="00F51F38">
              <w:t xml:space="preserve"> </w:t>
            </w:r>
            <w:r w:rsidR="003D7D12">
              <w:t xml:space="preserve"> </w:t>
            </w:r>
          </w:p>
          <w:p w:rsidR="007834D9" w:rsidRPr="00C35DE1" w:rsidRDefault="007834D9" w:rsidP="00C35DE1">
            <w:pPr>
              <w:cnfStyle w:val="000000100000" w:firstRow="0" w:lastRow="0" w:firstColumn="0" w:lastColumn="0" w:oddVBand="0" w:evenVBand="0" w:oddHBand="1" w:evenHBand="0" w:firstRowFirstColumn="0" w:firstRowLastColumn="0" w:lastRowFirstColumn="0" w:lastRowLastColumn="0"/>
            </w:pPr>
          </w:p>
        </w:tc>
        <w:tc>
          <w:tcPr>
            <w:tcW w:w="2268" w:type="dxa"/>
          </w:tcPr>
          <w:p w:rsidR="007834D9" w:rsidRPr="00C35DE1" w:rsidRDefault="00C35DE1" w:rsidP="00A45B07">
            <w:pPr>
              <w:cnfStyle w:val="000000100000" w:firstRow="0" w:lastRow="0" w:firstColumn="0" w:lastColumn="0" w:oddVBand="0" w:evenVBand="0" w:oddHBand="1" w:evenHBand="0" w:firstRowFirstColumn="0" w:firstRowLastColumn="0" w:lastRowFirstColumn="0" w:lastRowLastColumn="0"/>
            </w:pPr>
            <w:r w:rsidRPr="00C35DE1">
              <w:t>Trocken-</w:t>
            </w:r>
          </w:p>
          <w:p w:rsidR="00C35DE1" w:rsidRPr="007173F2" w:rsidRDefault="00C35DE1" w:rsidP="00A45B07">
            <w:pPr>
              <w:cnfStyle w:val="000000100000" w:firstRow="0" w:lastRow="0" w:firstColumn="0" w:lastColumn="0" w:oddVBand="0" w:evenVBand="0" w:oddHBand="1" w:evenHBand="0" w:firstRowFirstColumn="0" w:firstRowLastColumn="0" w:lastRowFirstColumn="0" w:lastRowLastColumn="0"/>
              <w:rPr>
                <w:b/>
              </w:rPr>
            </w:pPr>
            <w:r w:rsidRPr="00C35DE1">
              <w:t>Ampulle</w:t>
            </w:r>
          </w:p>
        </w:tc>
        <w:tc>
          <w:tcPr>
            <w:tcW w:w="3402" w:type="dxa"/>
          </w:tcPr>
          <w:p w:rsidR="00EF7EA7" w:rsidRPr="007173F2" w:rsidRDefault="00C35DE1" w:rsidP="00EF7EA7">
            <w:pPr>
              <w:cnfStyle w:val="000000100000" w:firstRow="0" w:lastRow="0" w:firstColumn="0" w:lastColumn="0" w:oddVBand="0" w:evenVBand="0" w:oddHBand="1" w:evenHBand="0" w:firstRowFirstColumn="0" w:firstRowLastColumn="0" w:lastRowFirstColumn="0" w:lastRowLastColumn="0"/>
              <w:rPr>
                <w:b/>
              </w:rPr>
            </w:pPr>
            <w:r w:rsidRPr="00C35DE1">
              <w:rPr>
                <w:b/>
              </w:rPr>
              <w:t>Anaphylaktischer Schock, Schwere allergische Reaktion</w:t>
            </w:r>
            <w:r w:rsidR="001A6E02">
              <w:rPr>
                <w:b/>
              </w:rPr>
              <w:t xml:space="preserve">: </w:t>
            </w:r>
          </w:p>
          <w:p w:rsidR="007834D9" w:rsidRPr="007173F2" w:rsidRDefault="00EF7EA7" w:rsidP="00EF7EA7">
            <w:pPr>
              <w:cnfStyle w:val="000000100000" w:firstRow="0" w:lastRow="0" w:firstColumn="0" w:lastColumn="0" w:oddVBand="0" w:evenVBand="0" w:oddHBand="1" w:evenHBand="0" w:firstRowFirstColumn="0" w:firstRowLastColumn="0" w:lastRowFirstColumn="0" w:lastRowLastColumn="0"/>
              <w:rPr>
                <w:b/>
              </w:rPr>
            </w:pPr>
            <w:r w:rsidRPr="00EF7EA7">
              <w:t xml:space="preserve">500 mg </w:t>
            </w:r>
            <w:proofErr w:type="spellStart"/>
            <w:r>
              <w:t>i.v.</w:t>
            </w:r>
            <w:proofErr w:type="spellEnd"/>
            <w:r>
              <w:t xml:space="preserve"> (&lt;15 kg 50 mg, 15-30 kg 100 mg, 30-60 k</w:t>
            </w:r>
            <w:r w:rsidRPr="00EF7EA7">
              <w:t>g 250 mg)</w:t>
            </w:r>
          </w:p>
        </w:tc>
      </w:tr>
      <w:tr w:rsidR="00F51F38" w:rsidRPr="007173F2" w:rsidTr="00A77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834D9" w:rsidRPr="00C35DE1" w:rsidRDefault="00C35DE1" w:rsidP="00A45B07">
            <w:r w:rsidRPr="00C35DE1">
              <w:t>Diazepam</w:t>
            </w:r>
          </w:p>
        </w:tc>
        <w:tc>
          <w:tcPr>
            <w:tcW w:w="1701" w:type="dxa"/>
          </w:tcPr>
          <w:p w:rsidR="007834D9" w:rsidRPr="00C35DE1" w:rsidRDefault="00C35DE1" w:rsidP="00A45B07">
            <w:pPr>
              <w:cnfStyle w:val="000000010000" w:firstRow="0" w:lastRow="0" w:firstColumn="0" w:lastColumn="0" w:oddVBand="0" w:evenVBand="0" w:oddHBand="0" w:evenHBand="1" w:firstRowFirstColumn="0" w:firstRowLastColumn="0" w:lastRowFirstColumn="0" w:lastRowLastColumn="0"/>
            </w:pPr>
            <w:r w:rsidRPr="00C35DE1">
              <w:t>Diazepam-</w:t>
            </w:r>
            <w:proofErr w:type="spellStart"/>
            <w:r w:rsidRPr="00C35DE1">
              <w:t>ratiopharm</w:t>
            </w:r>
            <w:proofErr w:type="spellEnd"/>
            <w:r w:rsidRPr="00C35DE1">
              <w:t>®</w:t>
            </w:r>
          </w:p>
        </w:tc>
        <w:tc>
          <w:tcPr>
            <w:tcW w:w="2268" w:type="dxa"/>
          </w:tcPr>
          <w:p w:rsidR="007834D9" w:rsidRPr="00C35DE1" w:rsidRDefault="00C35DE1" w:rsidP="00A45B07">
            <w:pPr>
              <w:cnfStyle w:val="000000010000" w:firstRow="0" w:lastRow="0" w:firstColumn="0" w:lastColumn="0" w:oddVBand="0" w:evenVBand="0" w:oddHBand="0" w:evenHBand="1" w:firstRowFirstColumn="0" w:firstRowLastColumn="0" w:lastRowFirstColumn="0" w:lastRowLastColumn="0"/>
            </w:pPr>
            <w:r w:rsidRPr="00C35DE1">
              <w:t>Ampullen</w:t>
            </w:r>
            <w:r w:rsidR="00FD0765">
              <w:t xml:space="preserve"> </w:t>
            </w:r>
          </w:p>
        </w:tc>
        <w:tc>
          <w:tcPr>
            <w:tcW w:w="3402" w:type="dxa"/>
          </w:tcPr>
          <w:p w:rsidR="007834D9" w:rsidRDefault="00C35DE1" w:rsidP="00A45B07">
            <w:pPr>
              <w:cnfStyle w:val="000000010000" w:firstRow="0" w:lastRow="0" w:firstColumn="0" w:lastColumn="0" w:oddVBand="0" w:evenVBand="0" w:oddHBand="0" w:evenHBand="1" w:firstRowFirstColumn="0" w:firstRowLastColumn="0" w:lastRowFirstColumn="0" w:lastRowLastColumn="0"/>
              <w:rPr>
                <w:b/>
              </w:rPr>
            </w:pPr>
            <w:r>
              <w:rPr>
                <w:b/>
              </w:rPr>
              <w:t>Krampfanfall,</w:t>
            </w:r>
          </w:p>
          <w:p w:rsidR="00C35DE1" w:rsidRDefault="00C35DE1" w:rsidP="00A45B07">
            <w:pPr>
              <w:cnfStyle w:val="000000010000" w:firstRow="0" w:lastRow="0" w:firstColumn="0" w:lastColumn="0" w:oddVBand="0" w:evenVBand="0" w:oddHBand="0" w:evenHBand="1" w:firstRowFirstColumn="0" w:firstRowLastColumn="0" w:lastRowFirstColumn="0" w:lastRowLastColumn="0"/>
              <w:rPr>
                <w:b/>
              </w:rPr>
            </w:pPr>
            <w:r>
              <w:rPr>
                <w:b/>
              </w:rPr>
              <w:t>Angstzustände</w:t>
            </w:r>
          </w:p>
          <w:p w:rsidR="00C35DE1" w:rsidRPr="00C35DE1" w:rsidRDefault="00C35DE1" w:rsidP="00E640A6">
            <w:pPr>
              <w:cnfStyle w:val="000000010000" w:firstRow="0" w:lastRow="0" w:firstColumn="0" w:lastColumn="0" w:oddVBand="0" w:evenVBand="0" w:oddHBand="0" w:evenHBand="1" w:firstRowFirstColumn="0" w:firstRowLastColumn="0" w:lastRowFirstColumn="0" w:lastRowLastColumn="0"/>
            </w:pPr>
            <w:r w:rsidRPr="00C35DE1">
              <w:t>10mg titriert i.v.</w:t>
            </w:r>
            <w:r w:rsidR="00F51F38">
              <w:t xml:space="preserve"> oder </w:t>
            </w:r>
            <w:proofErr w:type="spellStart"/>
            <w:r w:rsidR="00F51F38">
              <w:t>i.m</w:t>
            </w:r>
            <w:proofErr w:type="spellEnd"/>
            <w:r w:rsidR="00F51F38">
              <w:t xml:space="preserve">. </w:t>
            </w:r>
            <w:bookmarkStart w:id="0" w:name="_GoBack"/>
            <w:bookmarkEnd w:id="0"/>
          </w:p>
        </w:tc>
      </w:tr>
      <w:tr w:rsidR="00F51F38" w:rsidRPr="00AE4708" w:rsidTr="00A7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834D9" w:rsidRPr="00F51F38" w:rsidRDefault="00F51F38" w:rsidP="00A45B07">
            <w:proofErr w:type="spellStart"/>
            <w:r w:rsidRPr="00F51F38">
              <w:t>Glyceroltrinitrat</w:t>
            </w:r>
            <w:proofErr w:type="spellEnd"/>
          </w:p>
        </w:tc>
        <w:tc>
          <w:tcPr>
            <w:tcW w:w="1701" w:type="dxa"/>
          </w:tcPr>
          <w:p w:rsidR="007834D9" w:rsidRPr="00F51F38" w:rsidRDefault="00F51F38" w:rsidP="00A45B07">
            <w:pPr>
              <w:cnfStyle w:val="000000100000" w:firstRow="0" w:lastRow="0" w:firstColumn="0" w:lastColumn="0" w:oddVBand="0" w:evenVBand="0" w:oddHBand="1" w:evenHBand="0" w:firstRowFirstColumn="0" w:firstRowLastColumn="0" w:lastRowFirstColumn="0" w:lastRowLastColumn="0"/>
            </w:pPr>
            <w:r w:rsidRPr="00F51F38">
              <w:t>Nitrolingual® Pumpspray</w:t>
            </w:r>
          </w:p>
        </w:tc>
        <w:tc>
          <w:tcPr>
            <w:tcW w:w="2268" w:type="dxa"/>
          </w:tcPr>
          <w:p w:rsidR="007834D9" w:rsidRPr="00F51F38" w:rsidRDefault="00F51F38" w:rsidP="00A45B07">
            <w:pPr>
              <w:cnfStyle w:val="000000100000" w:firstRow="0" w:lastRow="0" w:firstColumn="0" w:lastColumn="0" w:oddVBand="0" w:evenVBand="0" w:oddHBand="1" w:evenHBand="0" w:firstRowFirstColumn="0" w:firstRowLastColumn="0" w:lastRowFirstColumn="0" w:lastRowLastColumn="0"/>
            </w:pPr>
            <w:r w:rsidRPr="00F51F38">
              <w:t>Sprühflasche</w:t>
            </w:r>
          </w:p>
        </w:tc>
        <w:tc>
          <w:tcPr>
            <w:tcW w:w="3402" w:type="dxa"/>
          </w:tcPr>
          <w:p w:rsidR="00F51F38" w:rsidRPr="00AF4E20" w:rsidRDefault="00F51F38" w:rsidP="00A45B07">
            <w:pPr>
              <w:cnfStyle w:val="000000100000" w:firstRow="0" w:lastRow="0" w:firstColumn="0" w:lastColumn="0" w:oddVBand="0" w:evenVBand="0" w:oddHBand="1" w:evenHBand="0" w:firstRowFirstColumn="0" w:firstRowLastColumn="0" w:lastRowFirstColumn="0" w:lastRowLastColumn="0"/>
              <w:rPr>
                <w:b/>
                <w:lang w:val="en-US"/>
              </w:rPr>
            </w:pPr>
            <w:r w:rsidRPr="00AF4E20">
              <w:rPr>
                <w:b/>
                <w:lang w:val="en-US"/>
              </w:rPr>
              <w:t xml:space="preserve">Angina pectoris, </w:t>
            </w:r>
            <w:proofErr w:type="spellStart"/>
            <w:r w:rsidRPr="00AF4E20">
              <w:rPr>
                <w:b/>
                <w:lang w:val="en-US"/>
              </w:rPr>
              <w:t>Hypertonie</w:t>
            </w:r>
            <w:proofErr w:type="spellEnd"/>
          </w:p>
          <w:p w:rsidR="007834D9" w:rsidRPr="00AF4E20" w:rsidRDefault="00F51F38" w:rsidP="00A45B07">
            <w:pPr>
              <w:cnfStyle w:val="000000100000" w:firstRow="0" w:lastRow="0" w:firstColumn="0" w:lastColumn="0" w:oddVBand="0" w:evenVBand="0" w:oddHBand="1" w:evenHBand="0" w:firstRowFirstColumn="0" w:firstRowLastColumn="0" w:lastRowFirstColumn="0" w:lastRowLastColumn="0"/>
              <w:rPr>
                <w:lang w:val="en-US"/>
              </w:rPr>
            </w:pPr>
            <w:r w:rsidRPr="00AF4E20">
              <w:rPr>
                <w:lang w:val="en-US"/>
              </w:rPr>
              <w:t xml:space="preserve">2 Hub (0,4 mg pro </w:t>
            </w:r>
            <w:proofErr w:type="spellStart"/>
            <w:r w:rsidRPr="00AF4E20">
              <w:rPr>
                <w:lang w:val="en-US"/>
              </w:rPr>
              <w:t>Sprühstoß</w:t>
            </w:r>
            <w:proofErr w:type="spellEnd"/>
            <w:r w:rsidRPr="00AF4E20">
              <w:rPr>
                <w:lang w:val="en-US"/>
              </w:rPr>
              <w:t>)</w:t>
            </w:r>
          </w:p>
        </w:tc>
      </w:tr>
      <w:tr w:rsidR="00F51F38" w:rsidRPr="00AF4E20" w:rsidTr="00A77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C6C97" w:rsidRPr="0087106E" w:rsidRDefault="0087106E" w:rsidP="00EF7EA7">
            <w:r>
              <w:t xml:space="preserve">H1-Blocker: </w:t>
            </w:r>
            <w:proofErr w:type="spellStart"/>
            <w:r w:rsidRPr="0087106E">
              <w:t>Dimentiden</w:t>
            </w:r>
            <w:proofErr w:type="spellEnd"/>
          </w:p>
        </w:tc>
        <w:tc>
          <w:tcPr>
            <w:tcW w:w="1701" w:type="dxa"/>
          </w:tcPr>
          <w:p w:rsidR="00AF4E20" w:rsidRDefault="0087106E" w:rsidP="00A45B07">
            <w:pPr>
              <w:cnfStyle w:val="000000010000" w:firstRow="0" w:lastRow="0" w:firstColumn="0" w:lastColumn="0" w:oddVBand="0" w:evenVBand="0" w:oddHBand="0" w:evenHBand="1" w:firstRowFirstColumn="0" w:firstRowLastColumn="0" w:lastRowFirstColumn="0" w:lastRowLastColumn="0"/>
            </w:pPr>
            <w:proofErr w:type="spellStart"/>
            <w:r w:rsidRPr="0087106E">
              <w:t>Fenistil</w:t>
            </w:r>
            <w:proofErr w:type="spellEnd"/>
            <w:r w:rsidR="00AF4E20" w:rsidRPr="00AF4E20">
              <w:t>®</w:t>
            </w:r>
          </w:p>
          <w:p w:rsidR="00237B2B" w:rsidRDefault="00237B2B" w:rsidP="00A45B07">
            <w:pPr>
              <w:cnfStyle w:val="000000010000" w:firstRow="0" w:lastRow="0" w:firstColumn="0" w:lastColumn="0" w:oddVBand="0" w:evenVBand="0" w:oddHBand="0" w:evenHBand="1" w:firstRowFirstColumn="0" w:firstRowLastColumn="0" w:lastRowFirstColumn="0" w:lastRowLastColumn="0"/>
            </w:pPr>
          </w:p>
          <w:p w:rsidR="00AF4E20" w:rsidRPr="00F51F38" w:rsidRDefault="00AF4E20" w:rsidP="00A45B07">
            <w:pPr>
              <w:cnfStyle w:val="000000010000" w:firstRow="0" w:lastRow="0" w:firstColumn="0" w:lastColumn="0" w:oddVBand="0" w:evenVBand="0" w:oddHBand="0" w:evenHBand="1" w:firstRowFirstColumn="0" w:firstRowLastColumn="0" w:lastRowFirstColumn="0" w:lastRowLastColumn="0"/>
              <w:rPr>
                <w:b/>
              </w:rPr>
            </w:pPr>
          </w:p>
        </w:tc>
        <w:tc>
          <w:tcPr>
            <w:tcW w:w="2268" w:type="dxa"/>
          </w:tcPr>
          <w:p w:rsidR="00AF4E20" w:rsidRPr="0087106E" w:rsidRDefault="0087106E" w:rsidP="00EF7EA7">
            <w:pPr>
              <w:cnfStyle w:val="000000010000" w:firstRow="0" w:lastRow="0" w:firstColumn="0" w:lastColumn="0" w:oddVBand="0" w:evenVBand="0" w:oddHBand="0" w:evenHBand="1" w:firstRowFirstColumn="0" w:firstRowLastColumn="0" w:lastRowFirstColumn="0" w:lastRowLastColumn="0"/>
            </w:pPr>
            <w:r>
              <w:t>Ampullen</w:t>
            </w:r>
          </w:p>
        </w:tc>
        <w:tc>
          <w:tcPr>
            <w:tcW w:w="3402" w:type="dxa"/>
          </w:tcPr>
          <w:p w:rsidR="007834D9" w:rsidRPr="002C6C97" w:rsidRDefault="0087106E" w:rsidP="00A45B07">
            <w:pPr>
              <w:cnfStyle w:val="000000010000" w:firstRow="0" w:lastRow="0" w:firstColumn="0" w:lastColumn="0" w:oddVBand="0" w:evenVBand="0" w:oddHBand="0" w:evenHBand="1" w:firstRowFirstColumn="0" w:firstRowLastColumn="0" w:lastRowFirstColumn="0" w:lastRowLastColumn="0"/>
              <w:rPr>
                <w:b/>
              </w:rPr>
            </w:pPr>
            <w:r w:rsidRPr="002C6C97">
              <w:rPr>
                <w:b/>
              </w:rPr>
              <w:t>Allergische Reaktion</w:t>
            </w:r>
          </w:p>
          <w:p w:rsidR="00AF4E20" w:rsidRPr="00AF4E20" w:rsidRDefault="00EF7EA7" w:rsidP="00A45B07">
            <w:pPr>
              <w:cnfStyle w:val="000000010000" w:firstRow="0" w:lastRow="0" w:firstColumn="0" w:lastColumn="0" w:oddVBand="0" w:evenVBand="0" w:oddHBand="0" w:evenHBand="1" w:firstRowFirstColumn="0" w:firstRowLastColumn="0" w:lastRowFirstColumn="0" w:lastRowLastColumn="0"/>
            </w:pPr>
            <w:r>
              <w:rPr>
                <w:color w:val="3C3535"/>
                <w:shd w:val="clear" w:color="auto" w:fill="FFFFFF"/>
              </w:rPr>
              <w:t xml:space="preserve">0,1 mg/kg </w:t>
            </w:r>
            <w:proofErr w:type="spellStart"/>
            <w:r>
              <w:rPr>
                <w:color w:val="3C3535"/>
                <w:shd w:val="clear" w:color="auto" w:fill="FFFFFF"/>
              </w:rPr>
              <w:t>KG</w:t>
            </w:r>
            <w:proofErr w:type="spellEnd"/>
          </w:p>
        </w:tc>
      </w:tr>
      <w:tr w:rsidR="00F51F38" w:rsidRPr="002C6C97" w:rsidTr="00A77D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60" w:type="dxa"/>
          </w:tcPr>
          <w:p w:rsidR="00D91D16" w:rsidRPr="00AF4E20" w:rsidRDefault="002C6C97" w:rsidP="00A45B07">
            <w:r w:rsidRPr="00AF4E20">
              <w:t>Glucose 40%</w:t>
            </w:r>
          </w:p>
        </w:tc>
        <w:tc>
          <w:tcPr>
            <w:tcW w:w="1701" w:type="dxa"/>
          </w:tcPr>
          <w:p w:rsidR="007834D9" w:rsidRPr="00AF4E20" w:rsidRDefault="002C6C97" w:rsidP="00A45B07">
            <w:pPr>
              <w:cnfStyle w:val="000000100000" w:firstRow="0" w:lastRow="0" w:firstColumn="0" w:lastColumn="0" w:oddVBand="0" w:evenVBand="0" w:oddHBand="1" w:evenHBand="0" w:firstRowFirstColumn="0" w:firstRowLastColumn="0" w:lastRowFirstColumn="0" w:lastRowLastColumn="0"/>
            </w:pPr>
            <w:r w:rsidRPr="00AF4E20">
              <w:t>Glucose 40%</w:t>
            </w:r>
          </w:p>
        </w:tc>
        <w:tc>
          <w:tcPr>
            <w:tcW w:w="2268" w:type="dxa"/>
          </w:tcPr>
          <w:p w:rsidR="007834D9" w:rsidRPr="00AF4E20" w:rsidRDefault="002C6C97" w:rsidP="00A45B07">
            <w:pPr>
              <w:cnfStyle w:val="000000100000" w:firstRow="0" w:lastRow="0" w:firstColumn="0" w:lastColumn="0" w:oddVBand="0" w:evenVBand="0" w:oddHBand="1" w:evenHBand="0" w:firstRowFirstColumn="0" w:firstRowLastColumn="0" w:lastRowFirstColumn="0" w:lastRowLastColumn="0"/>
            </w:pPr>
            <w:r w:rsidRPr="00AF4E20">
              <w:t>Ampullen a 10ml</w:t>
            </w:r>
          </w:p>
        </w:tc>
        <w:tc>
          <w:tcPr>
            <w:tcW w:w="3402" w:type="dxa"/>
          </w:tcPr>
          <w:p w:rsidR="007834D9" w:rsidRPr="00AF4E20" w:rsidRDefault="002C6C97" w:rsidP="00A45B07">
            <w:pPr>
              <w:cnfStyle w:val="000000100000" w:firstRow="0" w:lastRow="0" w:firstColumn="0" w:lastColumn="0" w:oddVBand="0" w:evenVBand="0" w:oddHBand="1" w:evenHBand="0" w:firstRowFirstColumn="0" w:firstRowLastColumn="0" w:lastRowFirstColumn="0" w:lastRowLastColumn="0"/>
            </w:pPr>
            <w:r w:rsidRPr="00AF4E20">
              <w:t>20-100ml i.v.</w:t>
            </w:r>
          </w:p>
        </w:tc>
      </w:tr>
      <w:tr w:rsidR="00EF7EA7" w:rsidRPr="002C6C97" w:rsidTr="00A77D79">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60" w:type="dxa"/>
          </w:tcPr>
          <w:p w:rsidR="00C34048" w:rsidRDefault="00C34048" w:rsidP="00A45B07">
            <w:r>
              <w:t>Allergie-Notfallset</w:t>
            </w:r>
            <w:r w:rsidR="004C5548">
              <w:t>*</w:t>
            </w:r>
            <w:r>
              <w:t xml:space="preserve"> mit:</w:t>
            </w:r>
          </w:p>
          <w:p w:rsidR="00C34048" w:rsidRDefault="00C34048" w:rsidP="00A45B07">
            <w:r w:rsidRPr="00C34048">
              <w:t>Adrenalin-Autoinjektor</w:t>
            </w:r>
          </w:p>
          <w:p w:rsidR="00F57325" w:rsidRDefault="00F57325" w:rsidP="00A45B07">
            <w:r>
              <w:t>H1-Blocker</w:t>
            </w:r>
          </w:p>
          <w:p w:rsidR="00C34048" w:rsidRDefault="00C34048" w:rsidP="00A45B07">
            <w:proofErr w:type="spellStart"/>
            <w:r w:rsidRPr="00C34048">
              <w:t>Glukokortikoid</w:t>
            </w:r>
            <w:proofErr w:type="spellEnd"/>
            <w:r>
              <w:t xml:space="preserve"> </w:t>
            </w:r>
          </w:p>
          <w:p w:rsidR="00F57325" w:rsidRPr="00AF4E20" w:rsidRDefault="00F57325" w:rsidP="00F57325">
            <w:r>
              <w:t>β2-Sypathomimetika</w:t>
            </w:r>
          </w:p>
        </w:tc>
        <w:tc>
          <w:tcPr>
            <w:tcW w:w="1701" w:type="dxa"/>
          </w:tcPr>
          <w:p w:rsidR="00EF7EA7" w:rsidRDefault="00EF7EA7" w:rsidP="00A45B07">
            <w:pPr>
              <w:cnfStyle w:val="000000010000" w:firstRow="0" w:lastRow="0" w:firstColumn="0" w:lastColumn="0" w:oddVBand="0" w:evenVBand="0" w:oddHBand="0" w:evenHBand="1" w:firstRowFirstColumn="0" w:firstRowLastColumn="0" w:lastRowFirstColumn="0" w:lastRowLastColumn="0"/>
            </w:pPr>
          </w:p>
          <w:p w:rsidR="00C34048" w:rsidRDefault="00A77D79" w:rsidP="00A45B07">
            <w:pPr>
              <w:cnfStyle w:val="000000010000" w:firstRow="0" w:lastRow="0" w:firstColumn="0" w:lastColumn="0" w:oddVBand="0" w:evenVBand="0" w:oddHBand="0" w:evenHBand="1" w:firstRowFirstColumn="0" w:firstRowLastColumn="0" w:lastRowFirstColumn="0" w:lastRowLastColumn="0"/>
            </w:pPr>
            <w:proofErr w:type="spellStart"/>
            <w:r>
              <w:t>Fastjek</w:t>
            </w:r>
            <w:r w:rsidR="00F57325">
              <w:t>t</w:t>
            </w:r>
            <w:proofErr w:type="spellEnd"/>
            <w:r w:rsidRPr="00F57325">
              <w:t>®</w:t>
            </w:r>
          </w:p>
          <w:p w:rsidR="00F57325" w:rsidRDefault="00F57325" w:rsidP="00A45B07">
            <w:pPr>
              <w:cnfStyle w:val="000000010000" w:firstRow="0" w:lastRow="0" w:firstColumn="0" w:lastColumn="0" w:oddVBand="0" w:evenVBand="0" w:oddHBand="0" w:evenHBand="1" w:firstRowFirstColumn="0" w:firstRowLastColumn="0" w:lastRowFirstColumn="0" w:lastRowLastColumn="0"/>
            </w:pPr>
            <w:proofErr w:type="spellStart"/>
            <w:r w:rsidRPr="00F57325">
              <w:t>Fenistil</w:t>
            </w:r>
            <w:proofErr w:type="spellEnd"/>
            <w:r w:rsidRPr="00F57325">
              <w:t>®</w:t>
            </w:r>
          </w:p>
          <w:p w:rsidR="00C34048" w:rsidRDefault="00C34048" w:rsidP="00A45B07">
            <w:pPr>
              <w:cnfStyle w:val="000000010000" w:firstRow="0" w:lastRow="0" w:firstColumn="0" w:lastColumn="0" w:oddVBand="0" w:evenVBand="0" w:oddHBand="0" w:evenHBand="1" w:firstRowFirstColumn="0" w:firstRowLastColumn="0" w:lastRowFirstColumn="0" w:lastRowLastColumn="0"/>
            </w:pPr>
            <w:proofErr w:type="spellStart"/>
            <w:r>
              <w:t>Celestamine</w:t>
            </w:r>
            <w:proofErr w:type="spellEnd"/>
            <w:r w:rsidRPr="00F51F38">
              <w:t>®</w:t>
            </w:r>
          </w:p>
          <w:p w:rsidR="00F57325" w:rsidRPr="00AF4E20" w:rsidRDefault="00F57325" w:rsidP="00F57325">
            <w:pPr>
              <w:cnfStyle w:val="000000010000" w:firstRow="0" w:lastRow="0" w:firstColumn="0" w:lastColumn="0" w:oddVBand="0" w:evenVBand="0" w:oddHBand="0" w:evenHBand="1" w:firstRowFirstColumn="0" w:firstRowLastColumn="0" w:lastRowFirstColumn="0" w:lastRowLastColumn="0"/>
            </w:pPr>
            <w:proofErr w:type="spellStart"/>
            <w:r>
              <w:t>Berotec</w:t>
            </w:r>
            <w:proofErr w:type="spellEnd"/>
            <w:r>
              <w:t>® N</w:t>
            </w:r>
          </w:p>
        </w:tc>
        <w:tc>
          <w:tcPr>
            <w:tcW w:w="2268" w:type="dxa"/>
          </w:tcPr>
          <w:p w:rsidR="00EF7EA7" w:rsidRDefault="00EF7EA7" w:rsidP="00A45B07">
            <w:pPr>
              <w:cnfStyle w:val="000000010000" w:firstRow="0" w:lastRow="0" w:firstColumn="0" w:lastColumn="0" w:oddVBand="0" w:evenVBand="0" w:oddHBand="0" w:evenHBand="1" w:firstRowFirstColumn="0" w:firstRowLastColumn="0" w:lastRowFirstColumn="0" w:lastRowLastColumn="0"/>
            </w:pPr>
          </w:p>
          <w:p w:rsidR="00F57325" w:rsidRDefault="00A77D79" w:rsidP="00A45B07">
            <w:pPr>
              <w:cnfStyle w:val="000000010000" w:firstRow="0" w:lastRow="0" w:firstColumn="0" w:lastColumn="0" w:oddVBand="0" w:evenVBand="0" w:oddHBand="0" w:evenHBand="1" w:firstRowFirstColumn="0" w:firstRowLastColumn="0" w:lastRowFirstColumn="0" w:lastRowLastColumn="0"/>
            </w:pPr>
            <w:r>
              <w:t>Autoinjektor</w:t>
            </w:r>
            <w:r w:rsidR="002529E3">
              <w:t xml:space="preserve"> (0,3mg)</w:t>
            </w:r>
          </w:p>
          <w:p w:rsidR="00F57325" w:rsidRDefault="00F57325" w:rsidP="00A45B07">
            <w:pPr>
              <w:cnfStyle w:val="000000010000" w:firstRow="0" w:lastRow="0" w:firstColumn="0" w:lastColumn="0" w:oddVBand="0" w:evenVBand="0" w:oddHBand="0" w:evenHBand="1" w:firstRowFirstColumn="0" w:firstRowLastColumn="0" w:lastRowFirstColumn="0" w:lastRowLastColumn="0"/>
            </w:pPr>
            <w:r>
              <w:t>Tropfen</w:t>
            </w:r>
            <w:r w:rsidR="002529E3">
              <w:t xml:space="preserve"> 20 ml</w:t>
            </w:r>
          </w:p>
          <w:p w:rsidR="00F57325" w:rsidRDefault="00F57325" w:rsidP="00A45B07">
            <w:pPr>
              <w:cnfStyle w:val="000000010000" w:firstRow="0" w:lastRow="0" w:firstColumn="0" w:lastColumn="0" w:oddVBand="0" w:evenVBand="0" w:oddHBand="0" w:evenHBand="1" w:firstRowFirstColumn="0" w:firstRowLastColumn="0" w:lastRowFirstColumn="0" w:lastRowLastColumn="0"/>
            </w:pPr>
            <w:r>
              <w:t xml:space="preserve">Flasche N 0,5 </w:t>
            </w:r>
            <w:proofErr w:type="spellStart"/>
            <w:r>
              <w:t>liquidum</w:t>
            </w:r>
            <w:proofErr w:type="spellEnd"/>
          </w:p>
          <w:p w:rsidR="00F57325" w:rsidRPr="00AF4E20" w:rsidRDefault="00F57325" w:rsidP="00F57325">
            <w:pPr>
              <w:cnfStyle w:val="000000010000" w:firstRow="0" w:lastRow="0" w:firstColumn="0" w:lastColumn="0" w:oddVBand="0" w:evenVBand="0" w:oddHBand="0" w:evenHBand="1" w:firstRowFirstColumn="0" w:firstRowLastColumn="0" w:lastRowFirstColumn="0" w:lastRowLastColumn="0"/>
            </w:pPr>
            <w:r w:rsidRPr="007173F2">
              <w:t>Dosier-Aerosol</w:t>
            </w:r>
          </w:p>
        </w:tc>
        <w:tc>
          <w:tcPr>
            <w:tcW w:w="3402" w:type="dxa"/>
          </w:tcPr>
          <w:p w:rsidR="00F57325" w:rsidRDefault="00F57325" w:rsidP="00A45B07">
            <w:pPr>
              <w:cnfStyle w:val="000000010000" w:firstRow="0" w:lastRow="0" w:firstColumn="0" w:lastColumn="0" w:oddVBand="0" w:evenVBand="0" w:oddHBand="0" w:evenHBand="1" w:firstRowFirstColumn="0" w:firstRowLastColumn="0" w:lastRowFirstColumn="0" w:lastRowLastColumn="0"/>
              <w:rPr>
                <w:b/>
              </w:rPr>
            </w:pPr>
            <w:r w:rsidRPr="00F57325">
              <w:rPr>
                <w:b/>
              </w:rPr>
              <w:t>Anaphylaxie</w:t>
            </w:r>
          </w:p>
          <w:p w:rsidR="00F57325" w:rsidRDefault="00A77D79" w:rsidP="00F57325">
            <w:pPr>
              <w:cnfStyle w:val="000000010000" w:firstRow="0" w:lastRow="0" w:firstColumn="0" w:lastColumn="0" w:oddVBand="0" w:evenVBand="0" w:oddHBand="0" w:evenHBand="1" w:firstRowFirstColumn="0" w:firstRowLastColumn="0" w:lastRowFirstColumn="0" w:lastRowLastColumn="0"/>
            </w:pPr>
            <w:r>
              <w:t xml:space="preserve">0,3mg </w:t>
            </w:r>
            <w:proofErr w:type="spellStart"/>
            <w:r w:rsidR="002529E3">
              <w:t>i.m</w:t>
            </w:r>
            <w:proofErr w:type="spellEnd"/>
            <w:r w:rsidR="002529E3">
              <w:t>.</w:t>
            </w:r>
          </w:p>
          <w:p w:rsidR="00F57325" w:rsidRDefault="00F57325" w:rsidP="00F57325">
            <w:pPr>
              <w:cnfStyle w:val="000000010000" w:firstRow="0" w:lastRow="0" w:firstColumn="0" w:lastColumn="0" w:oddVBand="0" w:evenVBand="0" w:oddHBand="0" w:evenHBand="1" w:firstRowFirstColumn="0" w:firstRowLastColumn="0" w:lastRowFirstColumn="0" w:lastRowLastColumn="0"/>
            </w:pPr>
            <w:r>
              <w:rPr>
                <w:color w:val="3C3535"/>
                <w:shd w:val="clear" w:color="auto" w:fill="FFFFFF"/>
              </w:rPr>
              <w:t>1/2 Flasche</w:t>
            </w:r>
            <w:r w:rsidR="00A77D79">
              <w:rPr>
                <w:color w:val="3C3535"/>
                <w:shd w:val="clear" w:color="auto" w:fill="FFFFFF"/>
              </w:rPr>
              <w:t xml:space="preserve"> </w:t>
            </w:r>
            <w:proofErr w:type="spellStart"/>
            <w:r w:rsidR="00A77D79">
              <w:rPr>
                <w:color w:val="3C3535"/>
                <w:shd w:val="clear" w:color="auto" w:fill="FFFFFF"/>
              </w:rPr>
              <w:t>p.o</w:t>
            </w:r>
            <w:proofErr w:type="spellEnd"/>
            <w:r w:rsidR="00A77D79">
              <w:rPr>
                <w:color w:val="3C3535"/>
                <w:shd w:val="clear" w:color="auto" w:fill="FFFFFF"/>
              </w:rPr>
              <w:t>.</w:t>
            </w:r>
          </w:p>
          <w:p w:rsidR="00EF7EA7" w:rsidRDefault="00F57325" w:rsidP="00A77D79">
            <w:pPr>
              <w:cnfStyle w:val="000000010000" w:firstRow="0" w:lastRow="0" w:firstColumn="0" w:lastColumn="0" w:oddVBand="0" w:evenVBand="0" w:oddHBand="0" w:evenHBand="1" w:firstRowFirstColumn="0" w:firstRowLastColumn="0" w:lastRowFirstColumn="0" w:lastRowLastColumn="0"/>
            </w:pPr>
            <w:r w:rsidRPr="00F57325">
              <w:t xml:space="preserve">&gt; 30 kg </w:t>
            </w:r>
            <w:proofErr w:type="spellStart"/>
            <w:r w:rsidRPr="00F57325">
              <w:t>KG</w:t>
            </w:r>
            <w:proofErr w:type="spellEnd"/>
            <w:r w:rsidRPr="00F57325">
              <w:t xml:space="preserve"> eine ganze Flasche</w:t>
            </w:r>
            <w:r w:rsidR="00A77D79">
              <w:t xml:space="preserve"> </w:t>
            </w:r>
            <w:proofErr w:type="spellStart"/>
            <w:r w:rsidR="00A77D79">
              <w:t>p.o</w:t>
            </w:r>
            <w:proofErr w:type="spellEnd"/>
            <w:r w:rsidR="00A77D79">
              <w:t>.</w:t>
            </w:r>
          </w:p>
          <w:p w:rsidR="002529E3" w:rsidRPr="00F57325" w:rsidRDefault="002529E3" w:rsidP="00A77D79">
            <w:pPr>
              <w:cnfStyle w:val="000000010000" w:firstRow="0" w:lastRow="0" w:firstColumn="0" w:lastColumn="0" w:oddVBand="0" w:evenVBand="0" w:oddHBand="0" w:evenHBand="1" w:firstRowFirstColumn="0" w:firstRowLastColumn="0" w:lastRowFirstColumn="0" w:lastRowLastColumn="0"/>
            </w:pPr>
            <w:r>
              <w:t>2 Hub</w:t>
            </w:r>
          </w:p>
        </w:tc>
      </w:tr>
    </w:tbl>
    <w:p w:rsidR="007834D9" w:rsidRPr="00AF4E20" w:rsidRDefault="007834D9" w:rsidP="000404AF">
      <w:pPr>
        <w:spacing w:after="0" w:line="240" w:lineRule="auto"/>
        <w:rPr>
          <w:b/>
        </w:rPr>
      </w:pPr>
    </w:p>
    <w:p w:rsidR="00EF7EA7" w:rsidRPr="005E6AA0" w:rsidRDefault="004C5548" w:rsidP="000404AF">
      <w:pPr>
        <w:spacing w:after="0" w:line="240" w:lineRule="auto"/>
      </w:pPr>
      <w:r>
        <w:rPr>
          <w:b/>
        </w:rPr>
        <w:t>*</w:t>
      </w:r>
      <w:r w:rsidR="000404AF">
        <w:t>Ein</w:t>
      </w:r>
      <w:r w:rsidR="005E6AA0" w:rsidRPr="005E6AA0">
        <w:t xml:space="preserve"> Allergie</w:t>
      </w:r>
      <w:r w:rsidR="000404AF">
        <w:t>-N</w:t>
      </w:r>
      <w:r w:rsidR="005E6AA0" w:rsidRPr="005E6AA0">
        <w:t xml:space="preserve">otfallset </w:t>
      </w:r>
      <w:r w:rsidR="000404AF" w:rsidRPr="000404AF">
        <w:t xml:space="preserve">besteht aus einem </w:t>
      </w:r>
      <w:r w:rsidR="000404AF" w:rsidRPr="000404AF">
        <w:t>Adrenalin-Autoinjektor</w:t>
      </w:r>
      <w:r w:rsidR="000404AF" w:rsidRPr="000404AF">
        <w:t xml:space="preserve">, einem </w:t>
      </w:r>
      <w:proofErr w:type="spellStart"/>
      <w:r w:rsidR="000404AF" w:rsidRPr="000404AF">
        <w:t>Antihistaminikum</w:t>
      </w:r>
      <w:proofErr w:type="spellEnd"/>
      <w:r w:rsidR="000404AF">
        <w:t>, einem</w:t>
      </w:r>
      <w:r w:rsidR="000404AF" w:rsidRPr="000404AF">
        <w:t xml:space="preserve"> </w:t>
      </w:r>
      <w:proofErr w:type="spellStart"/>
      <w:r w:rsidR="000404AF" w:rsidRPr="000404AF">
        <w:t>Kortisonpräparat</w:t>
      </w:r>
      <w:proofErr w:type="spellEnd"/>
      <w:r w:rsidR="000404AF" w:rsidRPr="000404AF">
        <w:t xml:space="preserve"> und einem</w:t>
      </w:r>
      <w:r w:rsidR="000404AF">
        <w:t xml:space="preserve"> </w:t>
      </w:r>
      <w:r w:rsidR="000404AF" w:rsidRPr="000404AF">
        <w:t>β2-Sypathomimetika</w:t>
      </w:r>
      <w:r w:rsidR="000404AF" w:rsidRPr="000404AF">
        <w:t>. </w:t>
      </w:r>
      <w:r w:rsidR="000404AF">
        <w:t xml:space="preserve">Da die Medikamente oral, </w:t>
      </w:r>
      <w:proofErr w:type="spellStart"/>
      <w:r w:rsidR="000404AF">
        <w:t>i.m</w:t>
      </w:r>
      <w:proofErr w:type="spellEnd"/>
      <w:r w:rsidR="000404AF">
        <w:t xml:space="preserve">. oder </w:t>
      </w:r>
      <w:proofErr w:type="spellStart"/>
      <w:r w:rsidR="000404AF">
        <w:t>inhalativ</w:t>
      </w:r>
      <w:proofErr w:type="spellEnd"/>
      <w:r w:rsidR="000404AF">
        <w:t xml:space="preserve"> verabreicht werden, stellt das Allergie-Notfallset eine gute Alternative für </w:t>
      </w:r>
      <w:r w:rsidR="00061D3F">
        <w:t>die Therapie der Anaphylaxie ohne intravenösem Zugang dar</w:t>
      </w:r>
      <w:r w:rsidR="000404AF">
        <w:t xml:space="preserve">. </w:t>
      </w:r>
    </w:p>
    <w:p w:rsidR="00EF7EA7" w:rsidRDefault="00EF7EA7" w:rsidP="00A45B07">
      <w:pPr>
        <w:spacing w:after="0"/>
        <w:rPr>
          <w:b/>
        </w:rPr>
      </w:pPr>
    </w:p>
    <w:p w:rsidR="00A33AF2" w:rsidRPr="00AF4E20" w:rsidRDefault="00A33AF2" w:rsidP="00A45B07">
      <w:pPr>
        <w:spacing w:after="0"/>
        <w:rPr>
          <w:b/>
        </w:rPr>
      </w:pPr>
      <w:r w:rsidRPr="00AF4E20">
        <w:rPr>
          <w:b/>
        </w:rPr>
        <w:t>Quellen:</w:t>
      </w:r>
    </w:p>
    <w:p w:rsidR="000404AF" w:rsidRDefault="009E7522" w:rsidP="000404AF">
      <w:pPr>
        <w:suppressAutoHyphens/>
        <w:autoSpaceDN w:val="0"/>
        <w:spacing w:after="120" w:line="240" w:lineRule="auto"/>
        <w:textAlignment w:val="baseline"/>
        <w:rPr>
          <w:rFonts w:ascii="Calibri" w:eastAsia="Lucida Sans Unicode" w:hAnsi="Calibri" w:cs="Arial"/>
          <w:color w:val="222222"/>
          <w:kern w:val="3"/>
          <w:sz w:val="18"/>
          <w:szCs w:val="18"/>
          <w:shd w:val="clear" w:color="auto" w:fill="FFFFFF"/>
        </w:rPr>
      </w:pPr>
      <w:r w:rsidRPr="00276E47">
        <w:rPr>
          <w:rFonts w:ascii="Calibri" w:eastAsia="Lucida Sans Unicode" w:hAnsi="Calibri" w:cs="Arial"/>
          <w:color w:val="222222"/>
          <w:kern w:val="3"/>
          <w:sz w:val="18"/>
          <w:szCs w:val="18"/>
          <w:shd w:val="clear" w:color="auto" w:fill="FFFFFF"/>
        </w:rPr>
        <w:t>Bundezah</w:t>
      </w:r>
      <w:r w:rsidR="00497153" w:rsidRPr="00276E47">
        <w:rPr>
          <w:rFonts w:ascii="Calibri" w:eastAsia="Lucida Sans Unicode" w:hAnsi="Calibri" w:cs="Arial"/>
          <w:color w:val="222222"/>
          <w:kern w:val="3"/>
          <w:sz w:val="18"/>
          <w:szCs w:val="18"/>
          <w:shd w:val="clear" w:color="auto" w:fill="FFFFFF"/>
        </w:rPr>
        <w:t>närztekammer, Kassenärztliche Bu</w:t>
      </w:r>
      <w:r w:rsidRPr="00276E47">
        <w:rPr>
          <w:rFonts w:ascii="Calibri" w:eastAsia="Lucida Sans Unicode" w:hAnsi="Calibri" w:cs="Arial"/>
          <w:color w:val="222222"/>
          <w:kern w:val="3"/>
          <w:sz w:val="18"/>
          <w:szCs w:val="18"/>
          <w:shd w:val="clear" w:color="auto" w:fill="FFFFFF"/>
        </w:rPr>
        <w:t>ndesvereinigung</w:t>
      </w:r>
      <w:r w:rsidR="00A33AF2" w:rsidRPr="00276E47">
        <w:rPr>
          <w:rFonts w:ascii="Calibri" w:eastAsia="Lucida Sans Unicode" w:hAnsi="Calibri" w:cs="Arial"/>
          <w:color w:val="222222"/>
          <w:kern w:val="3"/>
          <w:sz w:val="18"/>
          <w:szCs w:val="18"/>
          <w:shd w:val="clear" w:color="auto" w:fill="FFFFFF"/>
        </w:rPr>
        <w:t xml:space="preserve">. Informationen über zahnärztliche Arzneimittel. Kapitel 11 „Behandlung von Notfällen “. </w:t>
      </w:r>
      <w:r w:rsidRPr="00276E47">
        <w:rPr>
          <w:rFonts w:ascii="Calibri" w:eastAsia="Lucida Sans Unicode" w:hAnsi="Calibri" w:cs="Arial"/>
          <w:color w:val="222222"/>
          <w:kern w:val="3"/>
          <w:sz w:val="18"/>
          <w:szCs w:val="18"/>
          <w:shd w:val="clear" w:color="auto" w:fill="FFFFFF"/>
        </w:rPr>
        <w:t xml:space="preserve">Januar </w:t>
      </w:r>
      <w:r w:rsidR="00A33AF2" w:rsidRPr="00276E47">
        <w:rPr>
          <w:rFonts w:ascii="Calibri" w:eastAsia="Lucida Sans Unicode" w:hAnsi="Calibri" w:cs="Arial"/>
          <w:color w:val="222222"/>
          <w:kern w:val="3"/>
          <w:sz w:val="18"/>
          <w:szCs w:val="18"/>
          <w:shd w:val="clear" w:color="auto" w:fill="FFFFFF"/>
        </w:rPr>
        <w:t>2015.</w:t>
      </w:r>
    </w:p>
    <w:p w:rsidR="00A33AF2" w:rsidRDefault="00A33AF2" w:rsidP="000404AF">
      <w:pPr>
        <w:suppressAutoHyphens/>
        <w:autoSpaceDN w:val="0"/>
        <w:spacing w:after="120" w:line="240" w:lineRule="auto"/>
        <w:textAlignment w:val="baseline"/>
        <w:rPr>
          <w:rFonts w:ascii="Calibri" w:eastAsia="Lucida Sans Unicode" w:hAnsi="Calibri" w:cs="Arial"/>
          <w:color w:val="222222"/>
          <w:kern w:val="3"/>
          <w:sz w:val="18"/>
          <w:szCs w:val="18"/>
          <w:shd w:val="clear" w:color="auto" w:fill="FFFFFF"/>
        </w:rPr>
      </w:pPr>
      <w:r w:rsidRPr="00276E47">
        <w:rPr>
          <w:rFonts w:ascii="Calibri" w:eastAsia="Lucida Sans Unicode" w:hAnsi="Calibri" w:cs="Arial"/>
          <w:color w:val="222222"/>
          <w:kern w:val="3"/>
          <w:sz w:val="18"/>
          <w:szCs w:val="18"/>
          <w:shd w:val="clear" w:color="auto" w:fill="FFFFFF"/>
        </w:rPr>
        <w:t xml:space="preserve">STOETZER, Marcus, et al. Die Notfallausstattung in der zahnärztlichen </w:t>
      </w:r>
      <w:proofErr w:type="spellStart"/>
      <w:r w:rsidRPr="00276E47">
        <w:rPr>
          <w:rFonts w:ascii="Calibri" w:eastAsia="Lucida Sans Unicode" w:hAnsi="Calibri" w:cs="Arial"/>
          <w:color w:val="222222"/>
          <w:kern w:val="3"/>
          <w:sz w:val="18"/>
          <w:szCs w:val="18"/>
          <w:shd w:val="clear" w:color="auto" w:fill="FFFFFF"/>
        </w:rPr>
        <w:t>Praxis.</w:t>
      </w:r>
      <w:r w:rsidRPr="00276E47">
        <w:rPr>
          <w:rFonts w:ascii="Calibri" w:eastAsia="Lucida Sans Unicode" w:hAnsi="Calibri" w:cs="Arial"/>
          <w:i/>
          <w:iCs/>
          <w:color w:val="222222"/>
          <w:kern w:val="3"/>
          <w:sz w:val="18"/>
          <w:szCs w:val="18"/>
          <w:shd w:val="clear" w:color="auto" w:fill="FFFFFF"/>
        </w:rPr>
        <w:t>Schweiz</w:t>
      </w:r>
      <w:proofErr w:type="spellEnd"/>
      <w:r w:rsidRPr="00276E47">
        <w:rPr>
          <w:rFonts w:ascii="Calibri" w:eastAsia="Lucida Sans Unicode" w:hAnsi="Calibri" w:cs="Arial"/>
          <w:i/>
          <w:iCs/>
          <w:color w:val="222222"/>
          <w:kern w:val="3"/>
          <w:sz w:val="18"/>
          <w:szCs w:val="18"/>
          <w:shd w:val="clear" w:color="auto" w:fill="FFFFFF"/>
        </w:rPr>
        <w:t xml:space="preserve"> </w:t>
      </w:r>
      <w:proofErr w:type="spellStart"/>
      <w:r w:rsidRPr="00276E47">
        <w:rPr>
          <w:rFonts w:ascii="Calibri" w:eastAsia="Lucida Sans Unicode" w:hAnsi="Calibri" w:cs="Arial"/>
          <w:i/>
          <w:iCs/>
          <w:color w:val="222222"/>
          <w:kern w:val="3"/>
          <w:sz w:val="18"/>
          <w:szCs w:val="18"/>
          <w:shd w:val="clear" w:color="auto" w:fill="FFFFFF"/>
        </w:rPr>
        <w:t>Monatsschr</w:t>
      </w:r>
      <w:proofErr w:type="spellEnd"/>
      <w:r w:rsidRPr="00276E47">
        <w:rPr>
          <w:rFonts w:ascii="Calibri" w:eastAsia="Lucida Sans Unicode" w:hAnsi="Calibri" w:cs="Arial"/>
          <w:i/>
          <w:iCs/>
          <w:color w:val="222222"/>
          <w:kern w:val="3"/>
          <w:sz w:val="18"/>
          <w:szCs w:val="18"/>
          <w:shd w:val="clear" w:color="auto" w:fill="FFFFFF"/>
        </w:rPr>
        <w:t xml:space="preserve"> </w:t>
      </w:r>
      <w:proofErr w:type="spellStart"/>
      <w:r w:rsidRPr="00276E47">
        <w:rPr>
          <w:rFonts w:ascii="Calibri" w:eastAsia="Lucida Sans Unicode" w:hAnsi="Calibri" w:cs="Arial"/>
          <w:i/>
          <w:iCs/>
          <w:color w:val="222222"/>
          <w:kern w:val="3"/>
          <w:sz w:val="18"/>
          <w:szCs w:val="18"/>
          <w:shd w:val="clear" w:color="auto" w:fill="FFFFFF"/>
        </w:rPr>
        <w:t>Zahnmed</w:t>
      </w:r>
      <w:proofErr w:type="spellEnd"/>
      <w:r w:rsidRPr="00276E47">
        <w:rPr>
          <w:rFonts w:ascii="Calibri" w:eastAsia="Lucida Sans Unicode" w:hAnsi="Calibri" w:cs="Arial"/>
          <w:color w:val="222222"/>
          <w:kern w:val="3"/>
          <w:sz w:val="18"/>
          <w:szCs w:val="18"/>
          <w:shd w:val="clear" w:color="auto" w:fill="FFFFFF"/>
        </w:rPr>
        <w:t>, 2013, 123. Jg., Nr. 10, S. 883.</w:t>
      </w:r>
    </w:p>
    <w:p w:rsidR="0062512C" w:rsidRPr="00276E47" w:rsidRDefault="0062512C" w:rsidP="000404AF">
      <w:pPr>
        <w:suppressAutoHyphens/>
        <w:autoSpaceDN w:val="0"/>
        <w:spacing w:after="120" w:line="240" w:lineRule="auto"/>
        <w:textAlignment w:val="baseline"/>
        <w:rPr>
          <w:rFonts w:ascii="Calibri" w:eastAsia="Lucida Sans Unicode" w:hAnsi="Calibri" w:cs="Tahoma"/>
          <w:kern w:val="3"/>
          <w:sz w:val="18"/>
          <w:szCs w:val="18"/>
        </w:rPr>
      </w:pPr>
      <w:r w:rsidRPr="0062512C">
        <w:rPr>
          <w:rFonts w:ascii="Calibri" w:eastAsia="Lucida Sans Unicode" w:hAnsi="Calibri" w:cs="Tahoma"/>
          <w:kern w:val="3"/>
          <w:sz w:val="18"/>
          <w:szCs w:val="18"/>
        </w:rPr>
        <w:t xml:space="preserve">Ring J et al (2014) Leitlinie zu Akuttherapie und Management der Anaphylaxie. AWMF Leitlinien-Register-Nummer 061–025. </w:t>
      </w:r>
      <w:proofErr w:type="spellStart"/>
      <w:r w:rsidRPr="0062512C">
        <w:rPr>
          <w:rFonts w:ascii="Calibri" w:eastAsia="Lucida Sans Unicode" w:hAnsi="Calibri" w:cs="Tahoma"/>
          <w:kern w:val="3"/>
          <w:sz w:val="18"/>
          <w:szCs w:val="18"/>
        </w:rPr>
        <w:t>Allergo</w:t>
      </w:r>
      <w:proofErr w:type="spellEnd"/>
      <w:r w:rsidRPr="0062512C">
        <w:rPr>
          <w:rFonts w:ascii="Calibri" w:eastAsia="Lucida Sans Unicode" w:hAnsi="Calibri" w:cs="Tahoma"/>
          <w:kern w:val="3"/>
          <w:sz w:val="18"/>
          <w:szCs w:val="18"/>
        </w:rPr>
        <w:t xml:space="preserve"> </w:t>
      </w:r>
      <w:proofErr w:type="spellStart"/>
      <w:r w:rsidRPr="0062512C">
        <w:rPr>
          <w:rFonts w:ascii="Calibri" w:eastAsia="Lucida Sans Unicode" w:hAnsi="Calibri" w:cs="Tahoma"/>
          <w:kern w:val="3"/>
          <w:sz w:val="18"/>
          <w:szCs w:val="18"/>
        </w:rPr>
        <w:t>JInt</w:t>
      </w:r>
      <w:proofErr w:type="spellEnd"/>
      <w:r w:rsidRPr="0062512C">
        <w:rPr>
          <w:rFonts w:ascii="Calibri" w:eastAsia="Lucida Sans Unicode" w:hAnsi="Calibri" w:cs="Tahoma"/>
          <w:kern w:val="3"/>
          <w:sz w:val="18"/>
          <w:szCs w:val="18"/>
        </w:rPr>
        <w:t xml:space="preserve"> 23:96–112</w:t>
      </w:r>
    </w:p>
    <w:p w:rsidR="00A33AF2" w:rsidRPr="002C6C97" w:rsidRDefault="00A33AF2" w:rsidP="00A45B07">
      <w:pPr>
        <w:spacing w:after="0"/>
        <w:rPr>
          <w:b/>
          <w:lang w:val="en-US"/>
        </w:rPr>
      </w:pPr>
    </w:p>
    <w:sectPr w:rsidR="00A33AF2" w:rsidRPr="002C6C97" w:rsidSect="00905B78">
      <w:headerReference w:type="even" r:id="rId9"/>
      <w:headerReference w:type="default" r:id="rId10"/>
      <w:footerReference w:type="even" r:id="rId11"/>
      <w:footerReference w:type="default" r:id="rId12"/>
      <w:headerReference w:type="first" r:id="rId13"/>
      <w:footerReference w:type="first" r:id="rId14"/>
      <w:pgSz w:w="11900" w:h="16840" w:code="9"/>
      <w:pgMar w:top="1534" w:right="1701"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F5" w:rsidRDefault="00C734F5" w:rsidP="00A45B07">
      <w:pPr>
        <w:spacing w:after="0" w:line="240" w:lineRule="auto"/>
      </w:pPr>
      <w:r>
        <w:separator/>
      </w:r>
    </w:p>
  </w:endnote>
  <w:endnote w:type="continuationSeparator" w:id="0">
    <w:p w:rsidR="00C734F5" w:rsidRDefault="00C734F5" w:rsidP="00A4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07" w:rsidRDefault="00A45B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07" w:rsidRDefault="00A45B0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07" w:rsidRDefault="00A45B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F5" w:rsidRDefault="00C734F5" w:rsidP="00A45B07">
      <w:pPr>
        <w:spacing w:after="0" w:line="240" w:lineRule="auto"/>
      </w:pPr>
      <w:r>
        <w:separator/>
      </w:r>
    </w:p>
  </w:footnote>
  <w:footnote w:type="continuationSeparator" w:id="0">
    <w:p w:rsidR="00C734F5" w:rsidRDefault="00C734F5" w:rsidP="00A45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07" w:rsidRDefault="00A45B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07" w:rsidRPr="00523A8A" w:rsidRDefault="00523A8A" w:rsidP="004610C8">
    <w:pPr>
      <w:pStyle w:val="Kopfzeile"/>
      <w:rPr>
        <w:b/>
        <w:sz w:val="32"/>
        <w:szCs w:val="32"/>
      </w:rPr>
    </w:pPr>
    <w:r w:rsidRPr="00523A8A">
      <w:rPr>
        <w:b/>
        <w:sz w:val="32"/>
        <w:szCs w:val="32"/>
      </w:rPr>
      <w:t>Medikamente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07" w:rsidRPr="00905B78" w:rsidRDefault="00A45B07">
    <w:pPr>
      <w:pStyle w:val="Kopfzeile"/>
      <w:rPr>
        <w:b/>
        <w:sz w:val="40"/>
        <w:szCs w:val="40"/>
      </w:rPr>
    </w:pPr>
    <w:r w:rsidRPr="00905B78">
      <w:rPr>
        <w:b/>
        <w:sz w:val="40"/>
        <w:szCs w:val="40"/>
      </w:rPr>
      <w:t>Notfallkoffer</w:t>
    </w:r>
    <w:r w:rsidR="00905B78" w:rsidRPr="00905B78">
      <w:rPr>
        <w:b/>
        <w:sz w:val="40"/>
        <w:szCs w:val="40"/>
      </w:rPr>
      <w:t>ausstattung für die zahnärztliche Praxis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48A"/>
    <w:multiLevelType w:val="multilevel"/>
    <w:tmpl w:val="939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77DE4"/>
    <w:multiLevelType w:val="hybridMultilevel"/>
    <w:tmpl w:val="E0C0D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07"/>
    <w:rsid w:val="000404AF"/>
    <w:rsid w:val="00061D3F"/>
    <w:rsid w:val="000C6C69"/>
    <w:rsid w:val="001145B7"/>
    <w:rsid w:val="001A6E02"/>
    <w:rsid w:val="001D365A"/>
    <w:rsid w:val="001D3666"/>
    <w:rsid w:val="00202C16"/>
    <w:rsid w:val="002052B4"/>
    <w:rsid w:val="00237B2B"/>
    <w:rsid w:val="00245EC6"/>
    <w:rsid w:val="002529E3"/>
    <w:rsid w:val="00252EB6"/>
    <w:rsid w:val="0025486C"/>
    <w:rsid w:val="00276E47"/>
    <w:rsid w:val="002858F9"/>
    <w:rsid w:val="002C6C97"/>
    <w:rsid w:val="00307FAC"/>
    <w:rsid w:val="00323A46"/>
    <w:rsid w:val="00325014"/>
    <w:rsid w:val="003A31DF"/>
    <w:rsid w:val="003D7D12"/>
    <w:rsid w:val="004572EA"/>
    <w:rsid w:val="004610C8"/>
    <w:rsid w:val="00497153"/>
    <w:rsid w:val="004C5548"/>
    <w:rsid w:val="005076D4"/>
    <w:rsid w:val="0051017B"/>
    <w:rsid w:val="00523A8A"/>
    <w:rsid w:val="00555E1F"/>
    <w:rsid w:val="005E3970"/>
    <w:rsid w:val="005E502D"/>
    <w:rsid w:val="005E6AA0"/>
    <w:rsid w:val="0062512C"/>
    <w:rsid w:val="0064174E"/>
    <w:rsid w:val="006A4B46"/>
    <w:rsid w:val="006A7933"/>
    <w:rsid w:val="00712DB0"/>
    <w:rsid w:val="007173F2"/>
    <w:rsid w:val="007670F2"/>
    <w:rsid w:val="00780F61"/>
    <w:rsid w:val="007834D9"/>
    <w:rsid w:val="007F4E27"/>
    <w:rsid w:val="00833E91"/>
    <w:rsid w:val="008566E2"/>
    <w:rsid w:val="0087106E"/>
    <w:rsid w:val="00884E97"/>
    <w:rsid w:val="008C2708"/>
    <w:rsid w:val="00905B78"/>
    <w:rsid w:val="009164D6"/>
    <w:rsid w:val="009169C0"/>
    <w:rsid w:val="0093112C"/>
    <w:rsid w:val="00936147"/>
    <w:rsid w:val="00954243"/>
    <w:rsid w:val="009A283D"/>
    <w:rsid w:val="009D122C"/>
    <w:rsid w:val="009E7522"/>
    <w:rsid w:val="009F4FB2"/>
    <w:rsid w:val="00A33AF2"/>
    <w:rsid w:val="00A45B07"/>
    <w:rsid w:val="00A77D79"/>
    <w:rsid w:val="00AE4708"/>
    <w:rsid w:val="00AF4E20"/>
    <w:rsid w:val="00B015EF"/>
    <w:rsid w:val="00B57B61"/>
    <w:rsid w:val="00BB5428"/>
    <w:rsid w:val="00BE0CC5"/>
    <w:rsid w:val="00C34048"/>
    <w:rsid w:val="00C35DE1"/>
    <w:rsid w:val="00C70914"/>
    <w:rsid w:val="00C734F5"/>
    <w:rsid w:val="00CF2B8F"/>
    <w:rsid w:val="00D16BFA"/>
    <w:rsid w:val="00D4171B"/>
    <w:rsid w:val="00D91D16"/>
    <w:rsid w:val="00DA550A"/>
    <w:rsid w:val="00DB3476"/>
    <w:rsid w:val="00DD2D6E"/>
    <w:rsid w:val="00DF6412"/>
    <w:rsid w:val="00E07CFC"/>
    <w:rsid w:val="00E13B95"/>
    <w:rsid w:val="00E640A6"/>
    <w:rsid w:val="00E94DD2"/>
    <w:rsid w:val="00EA1FB5"/>
    <w:rsid w:val="00EC25ED"/>
    <w:rsid w:val="00EE262D"/>
    <w:rsid w:val="00EF01E1"/>
    <w:rsid w:val="00EF7EA7"/>
    <w:rsid w:val="00F06192"/>
    <w:rsid w:val="00F37810"/>
    <w:rsid w:val="00F51F38"/>
    <w:rsid w:val="00F57325"/>
    <w:rsid w:val="00FD0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5B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5B07"/>
  </w:style>
  <w:style w:type="paragraph" w:styleId="Fuzeile">
    <w:name w:val="footer"/>
    <w:basedOn w:val="Standard"/>
    <w:link w:val="FuzeileZchn"/>
    <w:uiPriority w:val="99"/>
    <w:unhideWhenUsed/>
    <w:rsid w:val="00A45B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5B07"/>
  </w:style>
  <w:style w:type="table" w:styleId="Tabellenraster">
    <w:name w:val="Table Grid"/>
    <w:basedOn w:val="NormaleTabelle"/>
    <w:uiPriority w:val="59"/>
    <w:rsid w:val="0028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4E20"/>
    <w:pPr>
      <w:spacing w:line="240" w:lineRule="auto"/>
      <w:ind w:left="720"/>
      <w:contextualSpacing/>
    </w:pPr>
    <w:rPr>
      <w:rFonts w:eastAsiaTheme="minorEastAsia"/>
      <w:sz w:val="24"/>
      <w:lang w:eastAsia="de-DE"/>
    </w:rPr>
  </w:style>
  <w:style w:type="character" w:styleId="Kommentarzeichen">
    <w:name w:val="annotation reference"/>
    <w:basedOn w:val="Absatz-Standardschriftart"/>
    <w:uiPriority w:val="99"/>
    <w:semiHidden/>
    <w:unhideWhenUsed/>
    <w:rsid w:val="001145B7"/>
    <w:rPr>
      <w:sz w:val="16"/>
      <w:szCs w:val="16"/>
    </w:rPr>
  </w:style>
  <w:style w:type="paragraph" w:styleId="Kommentartext">
    <w:name w:val="annotation text"/>
    <w:basedOn w:val="Standard"/>
    <w:link w:val="KommentartextZchn"/>
    <w:uiPriority w:val="99"/>
    <w:semiHidden/>
    <w:unhideWhenUsed/>
    <w:rsid w:val="001145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B7"/>
    <w:rPr>
      <w:sz w:val="20"/>
      <w:szCs w:val="20"/>
    </w:rPr>
  </w:style>
  <w:style w:type="paragraph" w:styleId="Kommentarthema">
    <w:name w:val="annotation subject"/>
    <w:basedOn w:val="Kommentartext"/>
    <w:next w:val="Kommentartext"/>
    <w:link w:val="KommentarthemaZchn"/>
    <w:uiPriority w:val="99"/>
    <w:semiHidden/>
    <w:unhideWhenUsed/>
    <w:rsid w:val="001145B7"/>
    <w:rPr>
      <w:b/>
      <w:bCs/>
    </w:rPr>
  </w:style>
  <w:style w:type="character" w:customStyle="1" w:styleId="KommentarthemaZchn">
    <w:name w:val="Kommentarthema Zchn"/>
    <w:basedOn w:val="KommentartextZchn"/>
    <w:link w:val="Kommentarthema"/>
    <w:uiPriority w:val="99"/>
    <w:semiHidden/>
    <w:rsid w:val="001145B7"/>
    <w:rPr>
      <w:b/>
      <w:bCs/>
      <w:sz w:val="20"/>
      <w:szCs w:val="20"/>
    </w:rPr>
  </w:style>
  <w:style w:type="paragraph" w:styleId="Sprechblasentext">
    <w:name w:val="Balloon Text"/>
    <w:basedOn w:val="Standard"/>
    <w:link w:val="SprechblasentextZchn"/>
    <w:uiPriority w:val="99"/>
    <w:semiHidden/>
    <w:unhideWhenUsed/>
    <w:rsid w:val="001145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45B7"/>
    <w:rPr>
      <w:rFonts w:ascii="Tahoma" w:hAnsi="Tahoma" w:cs="Tahoma"/>
      <w:sz w:val="16"/>
      <w:szCs w:val="16"/>
    </w:rPr>
  </w:style>
  <w:style w:type="table" w:styleId="HellesRaster-Akzent3">
    <w:name w:val="Light Grid Accent 3"/>
    <w:basedOn w:val="NormaleTabelle"/>
    <w:uiPriority w:val="62"/>
    <w:rsid w:val="006A79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5B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5B07"/>
  </w:style>
  <w:style w:type="paragraph" w:styleId="Fuzeile">
    <w:name w:val="footer"/>
    <w:basedOn w:val="Standard"/>
    <w:link w:val="FuzeileZchn"/>
    <w:uiPriority w:val="99"/>
    <w:unhideWhenUsed/>
    <w:rsid w:val="00A45B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5B07"/>
  </w:style>
  <w:style w:type="table" w:styleId="Tabellenraster">
    <w:name w:val="Table Grid"/>
    <w:basedOn w:val="NormaleTabelle"/>
    <w:uiPriority w:val="59"/>
    <w:rsid w:val="0028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4E20"/>
    <w:pPr>
      <w:spacing w:line="240" w:lineRule="auto"/>
      <w:ind w:left="720"/>
      <w:contextualSpacing/>
    </w:pPr>
    <w:rPr>
      <w:rFonts w:eastAsiaTheme="minorEastAsia"/>
      <w:sz w:val="24"/>
      <w:lang w:eastAsia="de-DE"/>
    </w:rPr>
  </w:style>
  <w:style w:type="character" w:styleId="Kommentarzeichen">
    <w:name w:val="annotation reference"/>
    <w:basedOn w:val="Absatz-Standardschriftart"/>
    <w:uiPriority w:val="99"/>
    <w:semiHidden/>
    <w:unhideWhenUsed/>
    <w:rsid w:val="001145B7"/>
    <w:rPr>
      <w:sz w:val="16"/>
      <w:szCs w:val="16"/>
    </w:rPr>
  </w:style>
  <w:style w:type="paragraph" w:styleId="Kommentartext">
    <w:name w:val="annotation text"/>
    <w:basedOn w:val="Standard"/>
    <w:link w:val="KommentartextZchn"/>
    <w:uiPriority w:val="99"/>
    <w:semiHidden/>
    <w:unhideWhenUsed/>
    <w:rsid w:val="001145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B7"/>
    <w:rPr>
      <w:sz w:val="20"/>
      <w:szCs w:val="20"/>
    </w:rPr>
  </w:style>
  <w:style w:type="paragraph" w:styleId="Kommentarthema">
    <w:name w:val="annotation subject"/>
    <w:basedOn w:val="Kommentartext"/>
    <w:next w:val="Kommentartext"/>
    <w:link w:val="KommentarthemaZchn"/>
    <w:uiPriority w:val="99"/>
    <w:semiHidden/>
    <w:unhideWhenUsed/>
    <w:rsid w:val="001145B7"/>
    <w:rPr>
      <w:b/>
      <w:bCs/>
    </w:rPr>
  </w:style>
  <w:style w:type="character" w:customStyle="1" w:styleId="KommentarthemaZchn">
    <w:name w:val="Kommentarthema Zchn"/>
    <w:basedOn w:val="KommentartextZchn"/>
    <w:link w:val="Kommentarthema"/>
    <w:uiPriority w:val="99"/>
    <w:semiHidden/>
    <w:rsid w:val="001145B7"/>
    <w:rPr>
      <w:b/>
      <w:bCs/>
      <w:sz w:val="20"/>
      <w:szCs w:val="20"/>
    </w:rPr>
  </w:style>
  <w:style w:type="paragraph" w:styleId="Sprechblasentext">
    <w:name w:val="Balloon Text"/>
    <w:basedOn w:val="Standard"/>
    <w:link w:val="SprechblasentextZchn"/>
    <w:uiPriority w:val="99"/>
    <w:semiHidden/>
    <w:unhideWhenUsed/>
    <w:rsid w:val="001145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45B7"/>
    <w:rPr>
      <w:rFonts w:ascii="Tahoma" w:hAnsi="Tahoma" w:cs="Tahoma"/>
      <w:sz w:val="16"/>
      <w:szCs w:val="16"/>
    </w:rPr>
  </w:style>
  <w:style w:type="table" w:styleId="HellesRaster-Akzent3">
    <w:name w:val="Light Grid Accent 3"/>
    <w:basedOn w:val="NormaleTabelle"/>
    <w:uiPriority w:val="62"/>
    <w:rsid w:val="006A79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1876">
      <w:bodyDiv w:val="1"/>
      <w:marLeft w:val="0"/>
      <w:marRight w:val="0"/>
      <w:marTop w:val="0"/>
      <w:marBottom w:val="0"/>
      <w:divBdr>
        <w:top w:val="none" w:sz="0" w:space="0" w:color="auto"/>
        <w:left w:val="none" w:sz="0" w:space="0" w:color="auto"/>
        <w:bottom w:val="none" w:sz="0" w:space="0" w:color="auto"/>
        <w:right w:val="none" w:sz="0" w:space="0" w:color="auto"/>
      </w:divBdr>
    </w:div>
    <w:div w:id="746539492">
      <w:bodyDiv w:val="1"/>
      <w:marLeft w:val="0"/>
      <w:marRight w:val="0"/>
      <w:marTop w:val="0"/>
      <w:marBottom w:val="0"/>
      <w:divBdr>
        <w:top w:val="none" w:sz="0" w:space="0" w:color="auto"/>
        <w:left w:val="none" w:sz="0" w:space="0" w:color="auto"/>
        <w:bottom w:val="none" w:sz="0" w:space="0" w:color="auto"/>
        <w:right w:val="none" w:sz="0" w:space="0" w:color="auto"/>
      </w:divBdr>
    </w:div>
    <w:div w:id="19439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592BE-83EE-4D25-B9AB-11A8EDC5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Hübsch, Grit</dc:creator>
  <cp:lastModifiedBy>Hübsch, Grit</cp:lastModifiedBy>
  <cp:revision>11</cp:revision>
  <cp:lastPrinted>2015-11-19T08:29:00Z</cp:lastPrinted>
  <dcterms:created xsi:type="dcterms:W3CDTF">2017-12-18T09:35:00Z</dcterms:created>
  <dcterms:modified xsi:type="dcterms:W3CDTF">2017-12-18T13:04:00Z</dcterms:modified>
</cp:coreProperties>
</file>